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eastAsia" w:ascii="宋体" w:hAnsi="宋体" w:eastAsia="宋体" w:cs="宋体"/>
          <w:color w:val="222222"/>
          <w:kern w:val="0"/>
          <w:sz w:val="24"/>
          <w:lang w:val="en-US" w:eastAsia="zh-CN"/>
        </w:rPr>
      </w:pPr>
      <w:r>
        <w:rPr>
          <w:rFonts w:hint="eastAsia" w:ascii="宋体" w:hAnsi="宋体" w:eastAsia="宋体" w:cs="宋体"/>
          <w:color w:val="222222"/>
          <w:kern w:val="0"/>
          <w:sz w:val="24"/>
          <w:lang w:val="en-US" w:eastAsia="zh-CN"/>
        </w:rPr>
        <w:t>附件一</w:t>
      </w:r>
    </w:p>
    <w:tbl>
      <w:tblPr>
        <w:tblStyle w:val="7"/>
        <w:tblW w:w="5556" w:type="pct"/>
        <w:tblInd w:w="-4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6"/>
        <w:gridCol w:w="1039"/>
        <w:gridCol w:w="806"/>
        <w:gridCol w:w="775"/>
        <w:gridCol w:w="6983"/>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3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9"/>
                <w:sz w:val="22"/>
                <w:szCs w:val="22"/>
                <w:lang w:val="en-US" w:eastAsia="zh-CN" w:bidi="ar"/>
              </w:rPr>
              <w:t>品牌</w:t>
            </w:r>
          </w:p>
        </w:tc>
        <w:tc>
          <w:tcPr>
            <w:tcW w:w="3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9"/>
                <w:sz w:val="22"/>
                <w:szCs w:val="22"/>
                <w:lang w:val="en-US" w:eastAsia="zh-CN" w:bidi="ar"/>
              </w:rPr>
              <w:t>型号</w:t>
            </w:r>
          </w:p>
        </w:tc>
        <w:tc>
          <w:tcPr>
            <w:tcW w:w="31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基本描述</w:t>
            </w:r>
          </w:p>
        </w:tc>
        <w:tc>
          <w:tcPr>
            <w:tcW w:w="4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正/负偏离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0" w:hRule="atLeast"/>
        </w:trPr>
        <w:tc>
          <w:tcPr>
            <w:tcW w:w="2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手持式身份验证终端</w:t>
            </w:r>
          </w:p>
        </w:tc>
        <w:tc>
          <w:tcPr>
            <w:tcW w:w="3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3153"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1、屏幕尺寸≥8英寸IPS显示屏，分辨率≥1280*800，可触控，文字、图片显示清晰。可视角度≥170°；</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2、CPU≥4核，主频≥1.8GHz；</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3、存储：运行内存≥2GB，存储容量≥32GB；</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4、拍照模块：前置≥500w摄像头，具备自动聚焦功能，后置≥800w摄像头，且带有录像功能，能录制考生入场的视频并保存；（提供法定机构出具的检测报告复印件并加盖制造商公章）</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5、扬声器：身份认证设备自带扬声器，能够进行语音提示，声音清晰，音量可调，最大音量≥100分贝，且能播报验证认证姓名；</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6、通行指示灯：具有通行颜色光源指示灯，满足在室外环境快速通行的指示要求，至少具有三种颜色指示灯分别表示通过、不通过、需复核；（提供法定机构出具的检测报告复印件并加盖制造商公章）</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7、供电：应采用锂聚合物电池,容量6500mAh，采用电池供电模式时可持续使用10小时以上；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8、二代身份证信息采集模块：可读取二代身份证信息，包括姓名、证件照片、指纹信息、证件有效期等。符合公安部《手持式居民身份证阅读器》（GA 1153-2014）或符合公安部《台式居民身份证阅读器通用技术要求》（GA450-2013）；</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9、指纹采集模块：身份认证设备能够采集手指指纹信息，只对活体指纹进行识别。指纹采集器符合公安部GA/T 1011-2012《居民身份证指纹采集器通用技术要求》。</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10、人脸识别模块：可在软件界面中检测并采集人脸图像、人脸定位框可跟随人脸移动；（提供法定机构出具的检测报告复印件并加盖制造商公章）</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11、人性化设计：身份证模块位于终端右下方，方便客户刷身份证。符合客户使用习惯；验证提示灯位于终端右上方，提示效果明显；</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12、补光灯：具有双LED光源补光组件，补光灯色温4500K~6500K、显色指数（Ra）不小于90；光源为LED恒定光源；（提供法定机构出具的检测报告复印件并加盖制造商公章）</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13、可定时备份数据，如误删除数据，可进行数据恢复；（提供法定机构出具的检测报告复印件并加盖制造商公章）</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14、断网重传：若身份认证系统上传认证结果时无法接入专网，身份认证系统能够将认证结果保存，待恢复联网后上传</w:t>
            </w:r>
          </w:p>
        </w:tc>
        <w:tc>
          <w:tcPr>
            <w:tcW w:w="420"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身份验证终端支架</w:t>
            </w:r>
          </w:p>
        </w:tc>
        <w:tc>
          <w:tcPr>
            <w:tcW w:w="3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31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定制，高档三角支架</w:t>
            </w:r>
          </w:p>
        </w:tc>
        <w:tc>
          <w:tcPr>
            <w:tcW w:w="4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采集外置增强型摄像头</w:t>
            </w:r>
          </w:p>
        </w:tc>
        <w:tc>
          <w:tcPr>
            <w:tcW w:w="3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31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4K超高清画质，AF自动对焦，6X数字变焦，7CM微距成像；USB免驱，即插即用；含立式三角架</w:t>
            </w:r>
          </w:p>
        </w:tc>
        <w:tc>
          <w:tcPr>
            <w:tcW w:w="4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补光灯（含支架）</w:t>
            </w:r>
          </w:p>
        </w:tc>
        <w:tc>
          <w:tcPr>
            <w:tcW w:w="3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31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LED摄影补光灯，冷暖三色，无极调光，含50CM*70CM柔光箱，多用灯架；</w:t>
            </w:r>
          </w:p>
        </w:tc>
        <w:tc>
          <w:tcPr>
            <w:tcW w:w="4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证件背景布</w:t>
            </w:r>
          </w:p>
        </w:tc>
        <w:tc>
          <w:tcPr>
            <w:tcW w:w="3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3153"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无纺证件背景布，尺寸1.5*1M，红、白、天蓝、深蓝四色，不反光，吸光效果好；含1.5*2M,T型背景布支架；</w:t>
            </w:r>
          </w:p>
        </w:tc>
        <w:tc>
          <w:tcPr>
            <w:tcW w:w="420"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5" w:hRule="atLeast"/>
        </w:trPr>
        <w:tc>
          <w:tcPr>
            <w:tcW w:w="24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考生身份认证系统软件</w:t>
            </w:r>
          </w:p>
        </w:tc>
        <w:tc>
          <w:tcPr>
            <w:tcW w:w="3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3153"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1、用户管理：应能够对用户进行增、删、改以及用户的权限和角色划分。统一账户管理,统一授权管理，统一认证管理,统一审计管理；</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2、机构管理：应能够对各级机构进行增、删、改，可对用户进行按市、县区、考点等行政划分进行权限控制；考区编号；</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3、角色管理：应能够对系统角色的增、删、改。例如：系统管理员、用户等角色；</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4、终端管理：管理终端应能够批量设置、批量数据下发、批量更新终端版本；</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5、考试计划：应能够根据每年的考试情况，制定各场考试的考试计划，可绑定科目，身份认证终端验证时间。按设定时间计划主动上传验证结果数据；</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6、数据导入：应能够导入考点库、考场库、考生库、图像库、指纹库和删除相关批次等相关数据。提供数据接口供下级服务器按考点编号或考区编号下载本区域内所有考生身份数据库；</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7、数据打包：应能够对导入系统的考生数据进行打包，为身份认证终端下载做准备。平台数据进行加密处理,保证数据安全；</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8、认证结果：应能够查看考生认证数据情况。可导出excel报表，可导出dbf数据库和认证照片。导出报告。支持考务需求的各类报表打印、套打、批量打印等；</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9、违纪管理：应能够管理终端上传上来的违纪数据，应可导出excel报表；</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10、缺考管理：应能够管理终端上传上来的缺考数据，应可导出excel报表；</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11、考生入场情况：大屏总览应能够展示考生入场实时的认证数据以及对认证数据的图形分析。汇总与统计结果以报表和图表形式输出；</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12、架构方式：应支持CS、BS架构系统无缝集成；</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13、性能效率（考试计划制定）：并发2000用户进行考试计划制定的平均响应时间＜2秒；</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14、信息安全性：对系统网站进行安全扫描，应未发现高中风险漏洞；</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15、应可实现与中心平台的数据交互，实现考务指挥。</w:t>
            </w:r>
          </w:p>
        </w:tc>
        <w:tc>
          <w:tcPr>
            <w:tcW w:w="420"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tc>
      </w:tr>
    </w:tbl>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ind w:left="0" w:leftChars="0" w:firstLine="0" w:firstLineChars="0"/>
        <w:rPr>
          <w:rFonts w:hint="eastAsia" w:ascii="宋体" w:hAnsi="宋体" w:eastAsia="宋体" w:cs="宋体"/>
          <w:sz w:val="24"/>
          <w:szCs w:val="16"/>
          <w:lang w:val="en-US" w:eastAsia="zh-CN"/>
        </w:rPr>
      </w:pPr>
    </w:p>
    <w:p>
      <w:pPr>
        <w:pStyle w:val="2"/>
        <w:ind w:left="0" w:leftChars="0" w:firstLine="0" w:firstLineChars="0"/>
        <w:rPr>
          <w:rFonts w:hint="eastAsia" w:ascii="宋体" w:hAnsi="宋体" w:eastAsia="宋体" w:cs="宋体"/>
          <w:sz w:val="24"/>
          <w:szCs w:val="16"/>
          <w:lang w:val="en-US" w:eastAsia="zh-CN"/>
        </w:rPr>
      </w:pPr>
    </w:p>
    <w:p>
      <w:pPr>
        <w:pStyle w:val="2"/>
        <w:ind w:left="0" w:leftChars="0" w:firstLine="0" w:firstLineChars="0"/>
        <w:rPr>
          <w:rFonts w:hint="eastAsia" w:ascii="宋体" w:hAnsi="宋体" w:eastAsia="宋体" w:cs="宋体"/>
          <w:sz w:val="24"/>
          <w:szCs w:val="16"/>
          <w:lang w:val="en-US" w:eastAsia="zh-CN"/>
        </w:rPr>
      </w:pPr>
    </w:p>
    <w:p>
      <w:pPr>
        <w:pStyle w:val="2"/>
        <w:ind w:left="0" w:leftChars="0" w:firstLine="0" w:firstLineChars="0"/>
        <w:rPr>
          <w:rFonts w:hint="eastAsia" w:ascii="宋体" w:hAnsi="宋体" w:eastAsia="宋体" w:cs="宋体"/>
          <w:sz w:val="24"/>
          <w:szCs w:val="16"/>
          <w:lang w:val="en-US" w:eastAsia="zh-CN"/>
        </w:rPr>
      </w:pPr>
    </w:p>
    <w:p>
      <w:pPr>
        <w:pStyle w:val="2"/>
        <w:ind w:left="0" w:leftChars="0" w:firstLine="0" w:firstLineChars="0"/>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附件二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eastAsia="zh-CN"/>
        </w:rPr>
        <w:t>安徽新华</w:t>
      </w:r>
      <w:r>
        <w:rPr>
          <w:rFonts w:hint="eastAsia" w:ascii="仿宋" w:hAnsi="仿宋" w:eastAsia="仿宋" w:cs="仿宋"/>
          <w:b/>
          <w:bCs/>
          <w:sz w:val="28"/>
          <w:szCs w:val="28"/>
          <w:lang w:val="en-US" w:eastAsia="zh-CN"/>
        </w:rPr>
        <w:t>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0"/>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firstLine="5600" w:firstLineChars="2000"/>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日期：</w:t>
      </w:r>
    </w:p>
    <w:p>
      <w:pPr>
        <w:pStyle w:val="4"/>
        <w:ind w:left="0" w:leftChars="0" w:firstLine="0" w:firstLineChars="0"/>
        <w:rPr>
          <w:rFonts w:hint="default"/>
          <w:lang w:val="en-US" w:eastAsia="zh-CN"/>
        </w:rPr>
      </w:pPr>
    </w:p>
    <w:p>
      <w:pPr>
        <w:rPr>
          <w:rFonts w:hint="eastAsia"/>
          <w:sz w:val="24"/>
          <w:szCs w:val="32"/>
          <w:lang w:val="en-US" w:eastAsia="zh-CN"/>
        </w:rPr>
      </w:pPr>
      <w:r>
        <w:rPr>
          <w:rFonts w:hint="eastAsia"/>
          <w:sz w:val="24"/>
          <w:szCs w:val="32"/>
          <w:lang w:val="en-US" w:eastAsia="zh-CN"/>
        </w:rPr>
        <w:t>附件三</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2"/>
        <w:ind w:left="0" w:leftChars="0" w:firstLine="0" w:firstLineChars="0"/>
        <w:rPr>
          <w:rFonts w:hint="default"/>
          <w:lang w:val="en-US" w:eastAsia="zh-CN"/>
        </w:rPr>
      </w:pPr>
    </w:p>
    <w:p>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FangSong_GB2312">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NGJhMTBkZWI1ODdjMzNhNTY2YmIwMzdhOTNkMmIifQ=="/>
  </w:docVars>
  <w:rsids>
    <w:rsidRoot w:val="6E670BB3"/>
    <w:rsid w:val="6E670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200" w:firstLineChars="200"/>
    </w:pPr>
    <w:rPr>
      <w:rFonts w:ascii="宋体"/>
      <w:szCs w:val="20"/>
    </w:rPr>
  </w:style>
  <w:style w:type="paragraph" w:styleId="3">
    <w:name w:val="Body Text Indent"/>
    <w:basedOn w:val="1"/>
    <w:next w:val="1"/>
    <w:unhideWhenUsed/>
    <w:qFormat/>
    <w:uiPriority w:val="0"/>
    <w:pPr>
      <w:ind w:firstLine="645"/>
    </w:pPr>
    <w:rPr>
      <w:rFonts w:ascii="@FangSong_GB2312" w:hAnsi="@FangSong_GB2312" w:eastAsia="@FangSong_GB2312"/>
      <w:kern w:val="0"/>
      <w:sz w:val="32"/>
      <w:szCs w:val="20"/>
    </w:rPr>
  </w:style>
  <w:style w:type="paragraph" w:styleId="4">
    <w:name w:val="Body Text First Indent"/>
    <w:basedOn w:val="5"/>
    <w:next w:val="1"/>
    <w:qFormat/>
    <w:uiPriority w:val="0"/>
    <w:pPr>
      <w:adjustRightInd w:val="0"/>
      <w:spacing w:line="360" w:lineRule="auto"/>
      <w:ind w:firstLine="420"/>
      <w:textAlignment w:val="baseline"/>
    </w:pPr>
    <w:rPr>
      <w:rFonts w:ascii="Calibri" w:hAnsi="Calibri" w:eastAsia="楷体_GB2312"/>
      <w:sz w:val="24"/>
    </w:rPr>
  </w:style>
  <w:style w:type="paragraph" w:styleId="5">
    <w:name w:val="Body Text"/>
    <w:basedOn w:val="1"/>
    <w:next w:val="6"/>
    <w:qFormat/>
    <w:uiPriority w:val="0"/>
    <w:pPr>
      <w:spacing w:after="120"/>
    </w:pPr>
    <w:rPr>
      <w:szCs w:val="20"/>
    </w:rPr>
  </w:style>
  <w:style w:type="paragraph" w:styleId="6">
    <w:name w:val="Date"/>
    <w:basedOn w:val="1"/>
    <w:next w:val="1"/>
    <w:qFormat/>
    <w:uiPriority w:val="0"/>
    <w:rPr>
      <w:rFonts w:ascii="仿宋_GB2312" w:eastAsia="仿宋_GB2312"/>
      <w:sz w:val="30"/>
      <w:szCs w:val="20"/>
    </w:rPr>
  </w:style>
  <w:style w:type="character" w:customStyle="1" w:styleId="9">
    <w:name w:val="font31"/>
    <w:basedOn w:val="8"/>
    <w:qFormat/>
    <w:uiPriority w:val="0"/>
    <w:rPr>
      <w:rFonts w:hint="eastAsia" w:ascii="宋体" w:hAnsi="宋体" w:eastAsia="宋体" w:cs="宋体"/>
      <w:b/>
      <w:bCs/>
      <w:color w:val="000000"/>
      <w:sz w:val="28"/>
      <w:szCs w:val="28"/>
      <w:u w:val="none"/>
    </w:rPr>
  </w:style>
  <w:style w:type="paragraph" w:styleId="10">
    <w:name w:val="List Paragraph"/>
    <w:basedOn w:val="1"/>
    <w:qFormat/>
    <w:uiPriority w:val="1"/>
    <w:pPr>
      <w:spacing w:before="45"/>
      <w:ind w:left="100" w:firstLine="480"/>
    </w:pPr>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2022-09-08T02:13:00Z</dcterms:created>
  <dc:creator>lenovo</dc:creator>
  <cp:lastModifiedBy>lenovo</cp:lastModifiedBy>
  <dcterms:modified xsi:type="dcterms:W3CDTF">2022-09-08T02:14:03Z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D843DCED3A0F419FA480EA5390399FBA</vt:lpwstr>
  </property>
</Properties>
</file>