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tbl>
      <w:tblPr>
        <w:tblStyle w:val="13"/>
        <w:tblW w:w="11070" w:type="dxa"/>
        <w:tblInd w:w="-5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870"/>
        <w:gridCol w:w="8085"/>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序号</w:t>
            </w:r>
          </w:p>
        </w:tc>
        <w:tc>
          <w:tcPr>
            <w:tcW w:w="870"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名称</w:t>
            </w:r>
          </w:p>
        </w:tc>
        <w:tc>
          <w:tcPr>
            <w:tcW w:w="808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技术参数及要求</w:t>
            </w:r>
          </w:p>
        </w:tc>
        <w:tc>
          <w:tcPr>
            <w:tcW w:w="82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参数响应</w:t>
            </w:r>
          </w:p>
        </w:tc>
        <w:tc>
          <w:tcPr>
            <w:tcW w:w="7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b/>
                <w:bCs/>
                <w:color w:val="000000"/>
                <w:kern w:val="0"/>
                <w:sz w:val="24"/>
                <w:szCs w:val="24"/>
                <w:vertAlign w:val="baseline"/>
                <w:lang w:val="en-US" w:eastAsia="zh-CN" w:bidi="ar"/>
              </w:rPr>
              <w:t>1</w:t>
            </w:r>
          </w:p>
        </w:tc>
        <w:tc>
          <w:tcPr>
            <w:tcW w:w="870" w:type="dxa"/>
            <w:noWrap w:val="0"/>
            <w:vAlign w:val="center"/>
          </w:tcPr>
          <w:p>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上网行为管理</w:t>
            </w:r>
          </w:p>
        </w:tc>
        <w:tc>
          <w:tcPr>
            <w:tcW w:w="8085" w:type="dxa"/>
            <w:noWrap w:val="0"/>
            <w:vAlign w:val="top"/>
          </w:tcPr>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网络吞吐量≥</w:t>
            </w:r>
            <w:r>
              <w:rPr>
                <w:rFonts w:hint="eastAsia" w:ascii="宋体" w:hAnsi="宋体" w:cs="宋体"/>
                <w:sz w:val="24"/>
                <w:szCs w:val="24"/>
                <w:lang w:val="en-US" w:eastAsia="zh-CN"/>
              </w:rPr>
              <w:t>20</w:t>
            </w:r>
            <w:r>
              <w:rPr>
                <w:rFonts w:hint="eastAsia" w:ascii="宋体" w:hAnsi="宋体" w:eastAsia="宋体" w:cs="宋体"/>
                <w:sz w:val="24"/>
                <w:szCs w:val="24"/>
              </w:rPr>
              <w:t>Gbps</w:t>
            </w: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rPr>
              <w:t>、推荐带宽≥</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G</w:t>
            </w:r>
            <w:r>
              <w:rPr>
                <w:rFonts w:hint="eastAsia" w:ascii="宋体" w:hAnsi="宋体" w:eastAsia="宋体" w:cs="宋体"/>
                <w:sz w:val="24"/>
                <w:szCs w:val="24"/>
              </w:rPr>
              <w:t>bps、支持用户数≥</w:t>
            </w:r>
            <w:r>
              <w:rPr>
                <w:rFonts w:hint="eastAsia" w:ascii="宋体" w:hAnsi="宋体" w:cs="宋体"/>
                <w:sz w:val="24"/>
                <w:szCs w:val="24"/>
                <w:lang w:val="en-US" w:eastAsia="zh-CN"/>
              </w:rPr>
              <w:t>10000</w:t>
            </w:r>
            <w:r>
              <w:rPr>
                <w:rFonts w:hint="eastAsia" w:ascii="宋体" w:hAnsi="宋体" w:eastAsia="宋体" w:cs="宋体"/>
                <w:sz w:val="24"/>
                <w:szCs w:val="24"/>
              </w:rPr>
              <w:t>、每秒新建数≥</w:t>
            </w:r>
            <w:r>
              <w:rPr>
                <w:rFonts w:hint="eastAsia" w:ascii="宋体" w:hAnsi="宋体" w:cs="宋体"/>
                <w:sz w:val="24"/>
                <w:szCs w:val="24"/>
                <w:lang w:val="en-US" w:eastAsia="zh-CN"/>
              </w:rPr>
              <w:t>20000</w:t>
            </w:r>
            <w:r>
              <w:rPr>
                <w:rFonts w:hint="eastAsia" w:ascii="宋体" w:hAnsi="宋体" w:eastAsia="宋体" w:cs="宋体"/>
                <w:sz w:val="24"/>
                <w:szCs w:val="24"/>
              </w:rPr>
              <w:t>、最大并发数≥</w:t>
            </w:r>
            <w:r>
              <w:rPr>
                <w:rFonts w:hint="eastAsia" w:ascii="宋体" w:hAnsi="宋体" w:cs="宋体"/>
                <w:sz w:val="24"/>
                <w:szCs w:val="24"/>
                <w:lang w:val="en-US" w:eastAsia="zh-CN"/>
              </w:rPr>
              <w:t>80</w:t>
            </w:r>
            <w:r>
              <w:rPr>
                <w:rFonts w:hint="eastAsia" w:ascii="宋体" w:hAnsi="宋体" w:eastAsia="宋体" w:cs="宋体"/>
                <w:sz w:val="24"/>
                <w:szCs w:val="24"/>
                <w:lang w:val="en-US" w:eastAsia="zh-CN"/>
              </w:rPr>
              <w:t>万</w:t>
            </w:r>
            <w:r>
              <w:rPr>
                <w:rFonts w:hint="eastAsia" w:ascii="宋体" w:hAnsi="宋体" w:eastAsia="宋体" w:cs="宋体"/>
                <w:sz w:val="24"/>
                <w:szCs w:val="24"/>
              </w:rPr>
              <w:t>，内存≥</w:t>
            </w:r>
            <w:r>
              <w:rPr>
                <w:rFonts w:hint="eastAsia" w:ascii="宋体" w:hAnsi="宋体" w:eastAsia="宋体" w:cs="宋体"/>
                <w:sz w:val="24"/>
                <w:szCs w:val="24"/>
                <w:lang w:val="en-US" w:eastAsia="zh-CN"/>
              </w:rPr>
              <w:t>8</w:t>
            </w:r>
            <w:r>
              <w:rPr>
                <w:rFonts w:hint="eastAsia" w:ascii="宋体" w:hAnsi="宋体" w:eastAsia="宋体" w:cs="宋体"/>
                <w:sz w:val="24"/>
                <w:szCs w:val="24"/>
              </w:rPr>
              <w:t>GB，硬盘容量≥</w:t>
            </w:r>
            <w:r>
              <w:rPr>
                <w:rFonts w:hint="eastAsia" w:ascii="宋体" w:hAnsi="宋体" w:eastAsia="宋体" w:cs="宋体"/>
                <w:sz w:val="24"/>
                <w:szCs w:val="24"/>
                <w:lang w:val="en-US" w:eastAsia="zh-CN"/>
              </w:rPr>
              <w:t>900</w:t>
            </w:r>
            <w:r>
              <w:rPr>
                <w:rFonts w:hint="eastAsia" w:ascii="宋体" w:hAnsi="宋体" w:eastAsia="宋体" w:cs="宋体"/>
                <w:sz w:val="24"/>
                <w:szCs w:val="24"/>
              </w:rPr>
              <w:t>G</w:t>
            </w:r>
            <w:r>
              <w:rPr>
                <w:rFonts w:hint="eastAsia" w:ascii="宋体" w:hAnsi="宋体" w:cs="宋体"/>
                <w:sz w:val="24"/>
                <w:szCs w:val="24"/>
                <w:lang w:val="en-US" w:eastAsia="zh-CN"/>
              </w:rPr>
              <w:t xml:space="preserve"> </w:t>
            </w:r>
            <w:r>
              <w:rPr>
                <w:rFonts w:hint="eastAsia" w:ascii="宋体" w:hAnsi="宋体" w:eastAsia="宋体" w:cs="宋体"/>
                <w:sz w:val="24"/>
                <w:szCs w:val="24"/>
              </w:rPr>
              <w:t>minisata SSD</w:t>
            </w:r>
            <w:r>
              <w:rPr>
                <w:rFonts w:hint="eastAsia" w:ascii="宋体" w:hAnsi="宋体" w:cs="宋体"/>
                <w:sz w:val="24"/>
                <w:szCs w:val="24"/>
                <w:lang w:eastAsia="zh-CN"/>
              </w:rPr>
              <w:t>，</w:t>
            </w:r>
            <w:r>
              <w:rPr>
                <w:rFonts w:hint="eastAsia" w:ascii="宋体" w:hAnsi="宋体" w:eastAsia="宋体" w:cs="宋体"/>
                <w:sz w:val="24"/>
                <w:szCs w:val="24"/>
              </w:rPr>
              <w:t xml:space="preserve"> 至少具备</w:t>
            </w:r>
            <w:r>
              <w:rPr>
                <w:rFonts w:hint="eastAsia" w:ascii="宋体" w:hAnsi="宋体" w:eastAsia="宋体" w:cs="宋体"/>
                <w:sz w:val="24"/>
                <w:szCs w:val="24"/>
                <w:lang w:val="en-US" w:eastAsia="zh-CN"/>
              </w:rPr>
              <w:t>6</w:t>
            </w:r>
            <w:r>
              <w:rPr>
                <w:rFonts w:hint="eastAsia" w:ascii="宋体" w:hAnsi="宋体" w:eastAsia="宋体" w:cs="宋体"/>
                <w:sz w:val="24"/>
                <w:szCs w:val="24"/>
              </w:rPr>
              <w:t>个千兆电口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2个万兆光口</w:t>
            </w:r>
            <w:r>
              <w:rPr>
                <w:rFonts w:hint="eastAsia" w:ascii="宋体" w:hAnsi="宋体" w:eastAsia="宋体" w:cs="宋体"/>
                <w:b w:val="0"/>
                <w:bCs w:val="0"/>
                <w:color w:val="000000"/>
                <w:kern w:val="0"/>
                <w:sz w:val="24"/>
                <w:szCs w:val="24"/>
                <w:vertAlign w:val="baseline"/>
                <w:lang w:val="en-US" w:eastAsia="zh-CN" w:bidi="ar"/>
              </w:rPr>
              <w:t>SFP+</w:t>
            </w:r>
            <w:r>
              <w:rPr>
                <w:rFonts w:hint="eastAsia" w:ascii="宋体" w:hAnsi="宋体" w:cs="宋体"/>
                <w:b w:val="0"/>
                <w:bCs w:val="0"/>
                <w:color w:val="000000"/>
                <w:kern w:val="0"/>
                <w:sz w:val="24"/>
                <w:szCs w:val="24"/>
                <w:vertAlign w:val="baseline"/>
                <w:lang w:val="en-US" w:eastAsia="zh-CN" w:bidi="ar"/>
              </w:rPr>
              <w:t>（含满配光模块），</w:t>
            </w:r>
            <w:r>
              <w:rPr>
                <w:rFonts w:hint="eastAsia" w:ascii="宋体" w:hAnsi="宋体" w:eastAsia="宋体" w:cs="宋体"/>
                <w:sz w:val="24"/>
                <w:szCs w:val="24"/>
              </w:rPr>
              <w:t>1个串口(RJ45)， 2个USB接口，</w:t>
            </w:r>
            <w:r>
              <w:rPr>
                <w:rFonts w:hint="eastAsia" w:ascii="宋体" w:hAnsi="宋体" w:cs="宋体"/>
                <w:sz w:val="24"/>
                <w:szCs w:val="24"/>
                <w:lang w:val="en-US" w:eastAsia="zh-CN"/>
              </w:rPr>
              <w:t>交流冗余电源（220V）</w:t>
            </w:r>
            <w:r>
              <w:rPr>
                <w:rFonts w:hint="eastAsia" w:ascii="宋体" w:hAnsi="宋体" w:eastAsia="宋体" w:cs="宋体"/>
                <w:sz w:val="24"/>
                <w:szCs w:val="24"/>
              </w:rPr>
              <w:t>标准机架设备</w:t>
            </w:r>
            <w:r>
              <w:rPr>
                <w:rFonts w:hint="eastAsia" w:ascii="宋体" w:hAnsi="宋体" w:cs="宋体"/>
                <w:sz w:val="24"/>
                <w:szCs w:val="24"/>
                <w:lang w:val="en-US" w:eastAsia="zh-CN"/>
              </w:rPr>
              <w:t>，</w:t>
            </w:r>
            <w:r>
              <w:rPr>
                <w:rFonts w:hint="eastAsia" w:ascii="宋体" w:hAnsi="宋体" w:eastAsia="宋体" w:cs="宋体"/>
                <w:sz w:val="24"/>
                <w:szCs w:val="24"/>
              </w:rPr>
              <w:t>具备基本流量审计、应用审计、行为审计等功能；</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支持网关、网桥、旁路模式部署；网关模式，支持NAT、路由转发、DHCP、GRE、OSPF等功能；</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支持部署在IPv6环境中，设备接口及部署模式均支持ipv6配置；所有核心功能（上网认证、应用控制、流量控制、内容审计、日志报表等）都支持IPv6；</w:t>
            </w:r>
            <w:r>
              <w:rPr>
                <w:rFonts w:hint="eastAsia" w:ascii="宋体" w:hAnsi="宋体" w:eastAsia="宋体" w:cs="宋体"/>
                <w:b w:val="0"/>
                <w:bCs w:val="0"/>
                <w:color w:val="000000"/>
                <w:kern w:val="0"/>
                <w:sz w:val="24"/>
                <w:szCs w:val="24"/>
                <w:vertAlign w:val="baseline"/>
                <w:lang w:val="en-US" w:eastAsia="zh-CN" w:bidi="ar"/>
              </w:rPr>
              <w:t>（需提供相关功能截图证明）</w:t>
            </w:r>
            <w:r>
              <w:rPr>
                <w:rFonts w:hint="eastAsia" w:ascii="宋体" w:hAnsi="宋体" w:eastAsia="宋体" w:cs="宋体"/>
                <w:sz w:val="24"/>
                <w:szCs w:val="24"/>
                <w:lang w:val="en-US" w:eastAsia="zh-CN"/>
              </w:rPr>
              <w:t>；</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支持</w:t>
            </w:r>
            <w:r>
              <w:rPr>
                <w:rFonts w:hint="eastAsia" w:ascii="宋体" w:hAnsi="宋体" w:eastAsia="宋体" w:cs="宋体"/>
                <w:color w:val="000000"/>
                <w:sz w:val="24"/>
                <w:szCs w:val="24"/>
              </w:rPr>
              <w:t>首页分</w:t>
            </w:r>
            <w:r>
              <w:rPr>
                <w:rFonts w:hint="eastAsia" w:ascii="宋体" w:hAnsi="宋体" w:eastAsia="宋体" w:cs="宋体"/>
                <w:sz w:val="24"/>
                <w:szCs w:val="24"/>
              </w:rPr>
              <w:t>析显示接入用户人数、终端类型、认证方式；带宽质量分析、实时流量排名；泄密风险、违规访问、共享上网等行为风险情况</w:t>
            </w:r>
            <w:r>
              <w:rPr>
                <w:rFonts w:hint="eastAsia" w:ascii="宋体" w:hAnsi="宋体" w:eastAsia="宋体" w:cs="宋体"/>
                <w:sz w:val="24"/>
                <w:szCs w:val="24"/>
                <w:lang w:eastAsia="zh-CN"/>
              </w:rPr>
              <w:t>；</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基于“流量”、“流速”、“时长”设置配额，当配额耗尽后，将用户加入到指定的流控黑名单惩罚通道中</w:t>
            </w:r>
            <w:r>
              <w:rPr>
                <w:rFonts w:hint="eastAsia" w:ascii="宋体" w:hAnsi="宋体" w:eastAsia="宋体" w:cs="宋体"/>
                <w:b w:val="0"/>
                <w:bCs w:val="0"/>
                <w:color w:val="000000"/>
                <w:kern w:val="0"/>
                <w:sz w:val="24"/>
                <w:szCs w:val="24"/>
                <w:vertAlign w:val="baseline"/>
                <w:lang w:val="en-US" w:eastAsia="zh-CN" w:bidi="ar"/>
              </w:rPr>
              <w:t>（需提供相关功能截图证明）</w:t>
            </w:r>
            <w:r>
              <w:rPr>
                <w:rFonts w:hint="eastAsia" w:ascii="宋体" w:hAnsi="宋体" w:eastAsia="宋体" w:cs="宋体"/>
                <w:sz w:val="24"/>
                <w:szCs w:val="24"/>
                <w:lang w:val="en-US" w:eastAsia="zh-CN"/>
              </w:rPr>
              <w:t>；</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支持通过抑制P2P的上行流量，来减缓P2P的下行流量，从而解决网络出口在做流控后仍然压力较大的问题</w:t>
            </w:r>
            <w:r>
              <w:rPr>
                <w:rFonts w:hint="eastAsia" w:ascii="宋体" w:hAnsi="宋体" w:eastAsia="宋体" w:cs="宋体"/>
                <w:b w:val="0"/>
                <w:bCs w:val="0"/>
                <w:color w:val="000000"/>
                <w:kern w:val="0"/>
                <w:sz w:val="24"/>
                <w:szCs w:val="24"/>
                <w:vertAlign w:val="baseline"/>
                <w:lang w:val="en-US" w:eastAsia="zh-CN" w:bidi="ar"/>
              </w:rPr>
              <w:t>（需提供相关功能截图证明）；</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在流量时长分析、用户行为分析、终端接入分析等纬度相关页面支持对统计结果的向下钻取查询</w:t>
            </w:r>
            <w:r>
              <w:rPr>
                <w:rFonts w:hint="eastAsia" w:ascii="宋体" w:hAnsi="宋体" w:cs="宋体"/>
                <w:sz w:val="24"/>
                <w:szCs w:val="24"/>
                <w:lang w:eastAsia="zh-CN"/>
              </w:rPr>
              <w:t>；</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设备内置应用识别规则库，支持超过10000条应用规则数，支持超过6500种以上的应用，并保持每两个星期更新一次，保证应用识别的准确率；</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能够对新浪微博、腾讯微博、网易微博等进行细分控制，如：登录、浏览、发微博、上传附件等</w:t>
            </w:r>
            <w:r>
              <w:rPr>
                <w:rFonts w:hint="eastAsia" w:ascii="宋体" w:hAnsi="宋体" w:cs="宋体"/>
                <w:sz w:val="24"/>
                <w:szCs w:val="24"/>
                <w:lang w:eastAsia="zh-CN"/>
              </w:rPr>
              <w:t>；</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厂商应是国家互联网应急中心（CNCERT）服务支撑单位（国家级），提供相关证明材料；</w:t>
            </w:r>
          </w:p>
          <w:p>
            <w:pPr>
              <w:keepNext w:val="0"/>
              <w:keepLines w:val="0"/>
              <w:widowControl/>
              <w:numPr>
                <w:ilvl w:val="0"/>
                <w:numId w:val="1"/>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要求提供上门安装调试及工程师3年7×24小时免费上门服务，提供原厂出具的针对本项目的授权书、服务承诺函，提供3年免费软硬件质保及3年URL规则库升级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Hans"/>
              </w:rPr>
              <w:t>并承诺在运维服务期间如出现网络安全事故</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承担相应责任</w:t>
            </w:r>
            <w:r>
              <w:rPr>
                <w:rFonts w:hint="default" w:ascii="宋体" w:hAnsi="宋体" w:eastAsia="宋体" w:cs="宋体"/>
                <w:sz w:val="24"/>
                <w:szCs w:val="24"/>
                <w:lang w:eastAsia="zh-Hans"/>
              </w:rPr>
              <w:t>。</w:t>
            </w:r>
          </w:p>
        </w:tc>
        <w:tc>
          <w:tcPr>
            <w:tcW w:w="825" w:type="dxa"/>
            <w:noWrap w:val="0"/>
            <w:vAlign w:val="center"/>
          </w:tcPr>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p>
        </w:tc>
        <w:tc>
          <w:tcPr>
            <w:tcW w:w="795" w:type="dxa"/>
            <w:noWrap w:val="0"/>
            <w:vAlign w:val="top"/>
          </w:tcPr>
          <w:p>
            <w:pPr>
              <w:keepNext w:val="0"/>
              <w:keepLines w:val="0"/>
              <w:widowControl/>
              <w:numPr>
                <w:ilvl w:val="0"/>
                <w:numId w:val="0"/>
              </w:numPr>
              <w:suppressLineNumbers w:val="0"/>
              <w:jc w:val="left"/>
              <w:rPr>
                <w:rFonts w:hint="default"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b/>
                <w:bCs/>
                <w:color w:val="000000"/>
                <w:kern w:val="0"/>
                <w:sz w:val="24"/>
                <w:szCs w:val="24"/>
                <w:vertAlign w:val="baseline"/>
                <w:lang w:val="en-US" w:eastAsia="zh-CN" w:bidi="ar"/>
              </w:rPr>
              <w:t>2</w:t>
            </w:r>
          </w:p>
        </w:tc>
        <w:tc>
          <w:tcPr>
            <w:tcW w:w="870" w:type="dxa"/>
            <w:noWrap w:val="0"/>
            <w:vAlign w:val="center"/>
          </w:tcPr>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数据库审计</w:t>
            </w:r>
          </w:p>
        </w:tc>
        <w:tc>
          <w:tcPr>
            <w:tcW w:w="8085" w:type="dxa"/>
            <w:noWrap w:val="0"/>
            <w:vAlign w:val="top"/>
          </w:tcPr>
          <w:p>
            <w:pPr>
              <w:keepNext w:val="0"/>
              <w:keepLines w:val="0"/>
              <w:widowControl/>
              <w:numPr>
                <w:ilvl w:val="0"/>
                <w:numId w:val="2"/>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最大纯数据库流量</w:t>
            </w:r>
            <w:r>
              <w:rPr>
                <w:rFonts w:hint="eastAsia" w:ascii="宋体" w:hAnsi="宋体" w:eastAsia="宋体" w:cs="宋体"/>
                <w:sz w:val="24"/>
                <w:szCs w:val="24"/>
              </w:rPr>
              <w:t>≥</w:t>
            </w:r>
            <w:r>
              <w:rPr>
                <w:rFonts w:hint="eastAsia" w:ascii="宋体" w:hAnsi="宋体" w:eastAsia="宋体" w:cs="宋体"/>
                <w:sz w:val="24"/>
                <w:szCs w:val="24"/>
                <w:lang w:val="en-US" w:eastAsia="zh-CN"/>
              </w:rPr>
              <w:t>400Mb/s，数据库实例个数</w:t>
            </w:r>
            <w:r>
              <w:rPr>
                <w:rFonts w:hint="eastAsia" w:ascii="宋体" w:hAnsi="宋体" w:eastAsia="宋体" w:cs="宋体"/>
                <w:sz w:val="24"/>
                <w:szCs w:val="24"/>
              </w:rPr>
              <w:t>≥</w:t>
            </w:r>
            <w:r>
              <w:rPr>
                <w:rFonts w:hint="eastAsia" w:ascii="宋体" w:hAnsi="宋体" w:eastAsia="宋体" w:cs="宋体"/>
                <w:sz w:val="24"/>
                <w:szCs w:val="24"/>
                <w:lang w:val="en-US" w:eastAsia="zh-CN"/>
              </w:rPr>
              <w:t>30个，SQL处理性能</w:t>
            </w:r>
            <w:r>
              <w:rPr>
                <w:rFonts w:hint="eastAsia" w:ascii="宋体" w:hAnsi="宋体" w:eastAsia="宋体" w:cs="宋体"/>
                <w:sz w:val="24"/>
                <w:szCs w:val="24"/>
              </w:rPr>
              <w:t>≥</w:t>
            </w:r>
            <w:r>
              <w:rPr>
                <w:rFonts w:hint="eastAsia" w:ascii="宋体" w:hAnsi="宋体" w:eastAsia="宋体" w:cs="宋体"/>
                <w:sz w:val="24"/>
                <w:szCs w:val="24"/>
                <w:lang w:val="en-US" w:eastAsia="zh-CN"/>
              </w:rPr>
              <w:t>10000条SQL/s，日志检索性能</w:t>
            </w:r>
            <w:r>
              <w:rPr>
                <w:rFonts w:hint="eastAsia" w:ascii="宋体" w:hAnsi="宋体" w:eastAsia="宋体" w:cs="宋体"/>
                <w:sz w:val="24"/>
                <w:szCs w:val="24"/>
              </w:rPr>
              <w:t>≥</w:t>
            </w:r>
            <w:r>
              <w:rPr>
                <w:rFonts w:hint="eastAsia" w:ascii="宋体" w:hAnsi="宋体" w:eastAsia="宋体" w:cs="宋体"/>
                <w:sz w:val="24"/>
                <w:szCs w:val="24"/>
                <w:lang w:val="en-US" w:eastAsia="zh-CN"/>
              </w:rPr>
              <w:t>500000条/秒。规格：内存大小</w:t>
            </w:r>
            <w:r>
              <w:rPr>
                <w:rFonts w:hint="eastAsia" w:ascii="宋体" w:hAnsi="宋体" w:eastAsia="宋体" w:cs="宋体"/>
                <w:sz w:val="24"/>
                <w:szCs w:val="24"/>
              </w:rPr>
              <w:t>≥</w:t>
            </w:r>
            <w:r>
              <w:rPr>
                <w:rFonts w:hint="eastAsia" w:ascii="宋体" w:hAnsi="宋体" w:eastAsia="宋体" w:cs="宋体"/>
                <w:sz w:val="24"/>
                <w:szCs w:val="24"/>
                <w:lang w:val="en-US" w:eastAsia="zh-CN"/>
              </w:rPr>
              <w:t>8G，硬盘容量</w:t>
            </w:r>
            <w:r>
              <w:rPr>
                <w:rFonts w:hint="eastAsia" w:ascii="宋体" w:hAnsi="宋体" w:eastAsia="宋体" w:cs="宋体"/>
                <w:sz w:val="24"/>
                <w:szCs w:val="24"/>
              </w:rPr>
              <w:t>≥</w:t>
            </w:r>
            <w:r>
              <w:rPr>
                <w:rFonts w:hint="eastAsia" w:ascii="宋体" w:hAnsi="宋体" w:eastAsia="宋体" w:cs="宋体"/>
                <w:sz w:val="24"/>
                <w:szCs w:val="24"/>
                <w:lang w:val="en-US" w:eastAsia="zh-CN"/>
              </w:rPr>
              <w:t>2T SATA，接口至少6千兆电口</w:t>
            </w:r>
            <w:r>
              <w:rPr>
                <w:rFonts w:hint="eastAsia" w:ascii="宋体" w:hAnsi="宋体" w:cs="宋体"/>
                <w:sz w:val="24"/>
                <w:szCs w:val="24"/>
                <w:lang w:val="en-US" w:eastAsia="zh-CN"/>
              </w:rPr>
              <w:t>，</w:t>
            </w:r>
            <w:r>
              <w:rPr>
                <w:rFonts w:hint="eastAsia" w:ascii="宋体" w:hAnsi="宋体" w:eastAsia="宋体" w:cs="宋体"/>
                <w:sz w:val="24"/>
                <w:szCs w:val="24"/>
              </w:rPr>
              <w:t>标准机架设备</w:t>
            </w:r>
            <w:r>
              <w:rPr>
                <w:rFonts w:hint="eastAsia" w:ascii="宋体" w:hAnsi="宋体" w:cs="宋体"/>
                <w:sz w:val="24"/>
                <w:szCs w:val="24"/>
                <w:lang w:val="en-US" w:eastAsia="zh-CN"/>
              </w:rPr>
              <w:t>；</w:t>
            </w:r>
          </w:p>
          <w:p>
            <w:pPr>
              <w:keepNext w:val="0"/>
              <w:keepLines w:val="0"/>
              <w:widowControl/>
              <w:numPr>
                <w:ilvl w:val="0"/>
                <w:numId w:val="2"/>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采用B/S管理方式，无需在被审计系统上安装任何代理；无需单独的数据中心，一台设备完成所有工作；提供图形用户界面，以简单、直观的方式完成策略配置、警报查询、攻击响应、集中管理等各种任务；</w:t>
            </w:r>
          </w:p>
          <w:p>
            <w:pPr>
              <w:keepNext w:val="0"/>
              <w:keepLines w:val="0"/>
              <w:widowControl/>
              <w:numPr>
                <w:ilvl w:val="0"/>
                <w:numId w:val="2"/>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支持主流数据库Oracle、SQL-Server、DB2、MySQL、Informix、Sybase、Postgresql、Cache、达梦、人大金仓、南大通用、MongDB、K-DB、（需提供相关功能截图证明）；</w:t>
            </w:r>
          </w:p>
          <w:p>
            <w:pPr>
              <w:keepNext w:val="0"/>
              <w:keepLines w:val="0"/>
              <w:widowControl/>
              <w:numPr>
                <w:ilvl w:val="0"/>
                <w:numId w:val="2"/>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支持对跨包SQL语句进行拼接，能够完整解析与审计超长SQL语句（超过1460字节），防止躲避审计的行为； </w:t>
            </w:r>
          </w:p>
          <w:p>
            <w:pPr>
              <w:keepNext w:val="0"/>
              <w:keepLines w:val="0"/>
              <w:widowControl/>
              <w:numPr>
                <w:ilvl w:val="0"/>
                <w:numId w:val="2"/>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数据库访问记录应至少包括发生时间、业务用户名、操作终端主机名及IP/MAC地址、终端工具名称、数据库名、表名、语句、返回结果等关键信息，可对日志进行细粒度解析</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分类审计；</w:t>
            </w:r>
          </w:p>
          <w:p>
            <w:pPr>
              <w:keepNext w:val="0"/>
              <w:keepLines w:val="0"/>
              <w:widowControl/>
              <w:numPr>
                <w:ilvl w:val="0"/>
                <w:numId w:val="2"/>
              </w:numPr>
              <w:suppressLineNumbers w:val="0"/>
              <w:jc w:val="left"/>
              <w:rPr>
                <w:rFonts w:hint="eastAsia"/>
                <w:sz w:val="24"/>
                <w:szCs w:val="24"/>
                <w:lang w:val="en-US" w:eastAsia="zh-CN"/>
              </w:rPr>
            </w:pPr>
            <w:r>
              <w:rPr>
                <w:rFonts w:hint="eastAsia" w:ascii="宋体" w:hAnsi="宋体" w:eastAsia="宋体" w:cs="宋体"/>
                <w:sz w:val="24"/>
                <w:szCs w:val="24"/>
              </w:rPr>
              <w:t>设备必须自带默认策略(如黑/白名单、全审计、攻击特征</w:t>
            </w:r>
            <w:r>
              <w:rPr>
                <w:rFonts w:hint="eastAsia" w:ascii="宋体" w:hAnsi="宋体" w:cs="宋体"/>
                <w:sz w:val="24"/>
                <w:szCs w:val="24"/>
                <w:lang w:eastAsia="zh-CN"/>
              </w:rPr>
              <w:t>等</w:t>
            </w:r>
            <w:r>
              <w:rPr>
                <w:rFonts w:hint="eastAsia" w:ascii="宋体" w:hAnsi="宋体" w:eastAsia="宋体" w:cs="宋体"/>
                <w:sz w:val="24"/>
                <w:szCs w:val="24"/>
              </w:rPr>
              <w:t>)，支持自定义策略和规则，方便用户灵活配置审计规则</w:t>
            </w:r>
            <w:r>
              <w:rPr>
                <w:rFonts w:hint="eastAsia" w:ascii="宋体" w:hAnsi="宋体" w:cs="宋体"/>
                <w:sz w:val="24"/>
                <w:szCs w:val="24"/>
                <w:lang w:eastAsia="zh-CN"/>
              </w:rPr>
              <w:t>，</w:t>
            </w:r>
            <w:r>
              <w:rPr>
                <w:rFonts w:hint="eastAsia" w:ascii="宋体" w:hAnsi="宋体" w:eastAsia="宋体" w:cs="宋体"/>
                <w:sz w:val="24"/>
                <w:szCs w:val="24"/>
              </w:rPr>
              <w:t>支持以操作类型、时间、IP地址、用户名、主机名、终端名、数据库表、认证结果、敏感数据等作为事件识别规则</w:t>
            </w:r>
            <w:r>
              <w:rPr>
                <w:rFonts w:hint="eastAsia" w:ascii="宋体" w:hAnsi="宋体" w:cs="宋体"/>
                <w:sz w:val="24"/>
                <w:szCs w:val="24"/>
                <w:lang w:eastAsia="zh-CN"/>
              </w:rPr>
              <w:t>。</w:t>
            </w:r>
            <w:r>
              <w:rPr>
                <w:rFonts w:hint="eastAsia" w:ascii="宋体" w:hAnsi="宋体" w:eastAsia="宋体" w:cs="宋体"/>
                <w:sz w:val="24"/>
                <w:szCs w:val="24"/>
              </w:rPr>
              <w:t>（需提供设备配置截图证明）；</w:t>
            </w:r>
          </w:p>
          <w:p>
            <w:pPr>
              <w:keepNext w:val="0"/>
              <w:keepLines w:val="0"/>
              <w:widowControl/>
              <w:numPr>
                <w:ilvl w:val="0"/>
                <w:numId w:val="2"/>
              </w:numPr>
              <w:suppressLineNumbers w:val="0"/>
              <w:jc w:val="left"/>
              <w:rPr>
                <w:rFonts w:hint="eastAsia"/>
                <w:sz w:val="24"/>
                <w:szCs w:val="24"/>
                <w:lang w:val="en-US" w:eastAsia="zh-CN"/>
              </w:rPr>
            </w:pPr>
            <w:r>
              <w:rPr>
                <w:rFonts w:hint="eastAsia" w:ascii="宋体" w:hAnsi="宋体" w:eastAsia="宋体" w:cs="宋体"/>
                <w:sz w:val="24"/>
                <w:szCs w:val="24"/>
              </w:rPr>
              <w:t>★单一设备可同时支持包括数据库审计、数据库防火墙、风险漏洞扫描、状态监控、敏感数据扫描等功能，能够按需扩展（需提供设备配置截图证明）</w:t>
            </w:r>
          </w:p>
          <w:p>
            <w:pPr>
              <w:keepNext w:val="0"/>
              <w:keepLines w:val="0"/>
              <w:widowControl/>
              <w:numPr>
                <w:ilvl w:val="0"/>
                <w:numId w:val="2"/>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厂商为国家信息安全漏洞共享平台CNVD技术组</w:t>
            </w:r>
            <w:r>
              <w:rPr>
                <w:rFonts w:hint="eastAsia" w:ascii="宋体" w:hAnsi="宋体" w:cs="宋体"/>
                <w:sz w:val="24"/>
                <w:szCs w:val="24"/>
                <w:lang w:eastAsia="zh-CN"/>
              </w:rPr>
              <w:t>成员单位</w:t>
            </w:r>
            <w:r>
              <w:rPr>
                <w:rFonts w:hint="eastAsia" w:ascii="宋体" w:hAnsi="宋体" w:eastAsia="宋体" w:cs="宋体"/>
                <w:sz w:val="24"/>
                <w:szCs w:val="24"/>
                <w:lang w:val="en-US" w:eastAsia="zh-CN"/>
              </w:rPr>
              <w:t>，提供CNVD官网截图证明或证书复印件；</w:t>
            </w:r>
          </w:p>
          <w:p>
            <w:pPr>
              <w:keepNext w:val="0"/>
              <w:keepLines w:val="0"/>
              <w:widowControl/>
              <w:numPr>
                <w:ilvl w:val="0"/>
                <w:numId w:val="2"/>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产品具有中国信息安全认证中心《中国国家信息安全产品认证证书》</w:t>
            </w:r>
            <w:r>
              <w:rPr>
                <w:rFonts w:hint="eastAsia" w:ascii="宋体" w:hAnsi="宋体" w:eastAsia="宋体" w:cs="宋体"/>
                <w:sz w:val="24"/>
                <w:szCs w:val="24"/>
                <w:lang w:eastAsia="zh-CN"/>
              </w:rPr>
              <w:t>。</w:t>
            </w:r>
          </w:p>
          <w:p>
            <w:pPr>
              <w:pStyle w:val="5"/>
              <w:numPr>
                <w:ilvl w:val="0"/>
                <w:numId w:val="2"/>
              </w:numPr>
              <w:ind w:left="0" w:leftChars="0" w:firstLine="0" w:firstLineChars="0"/>
              <w:rPr>
                <w:rFonts w:hint="default" w:ascii="宋体" w:hAnsi="宋体" w:eastAsia="宋体" w:cs="宋体"/>
                <w:sz w:val="24"/>
                <w:szCs w:val="24"/>
                <w:lang w:eastAsia="zh-Hans"/>
              </w:rPr>
            </w:pPr>
            <w:r>
              <w:rPr>
                <w:rFonts w:hint="eastAsia" w:ascii="宋体" w:hAnsi="宋体" w:eastAsia="宋体" w:cs="宋体"/>
                <w:sz w:val="24"/>
                <w:szCs w:val="24"/>
              </w:rPr>
              <w:t>要求提供上门安装调试及工程师3年7×24小时免费上门服务，提供原厂出具的针对本项目的授权书、服务承诺函，提供3年免费软硬件质保</w:t>
            </w:r>
            <w:r>
              <w:rPr>
                <w:rFonts w:hint="eastAsia" w:ascii="宋体" w:hAnsi="宋体" w:eastAsia="宋体" w:cs="宋体"/>
                <w:sz w:val="24"/>
                <w:szCs w:val="24"/>
                <w:lang w:eastAsia="zh-CN"/>
              </w:rPr>
              <w:t>。</w:t>
            </w:r>
            <w:r>
              <w:rPr>
                <w:rFonts w:hint="eastAsia" w:ascii="宋体" w:hAnsi="宋体" w:eastAsia="宋体" w:cs="宋体"/>
                <w:sz w:val="24"/>
                <w:szCs w:val="24"/>
                <w:lang w:val="en-US" w:eastAsia="zh-Hans"/>
              </w:rPr>
              <w:t>并承诺在运维服务期间如出现网络安全事故</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承担相应责任</w:t>
            </w:r>
            <w:r>
              <w:rPr>
                <w:rFonts w:hint="default" w:ascii="宋体" w:hAnsi="宋体" w:eastAsia="宋体" w:cs="宋体"/>
                <w:sz w:val="24"/>
                <w:szCs w:val="24"/>
                <w:lang w:eastAsia="zh-Hans"/>
              </w:rPr>
              <w:t>。</w:t>
            </w:r>
          </w:p>
          <w:p>
            <w:pPr>
              <w:pStyle w:val="5"/>
              <w:numPr>
                <w:ilvl w:val="0"/>
                <w:numId w:val="0"/>
              </w:numPr>
              <w:ind w:leftChars="0"/>
              <w:rPr>
                <w:rFonts w:hint="eastAsia" w:ascii="宋体" w:hAnsi="宋体" w:eastAsia="宋体" w:cs="宋体"/>
                <w:sz w:val="24"/>
                <w:szCs w:val="24"/>
                <w:lang w:val="en-US" w:eastAsia="zh-CN"/>
              </w:rPr>
            </w:pPr>
          </w:p>
          <w:p>
            <w:pPr>
              <w:pStyle w:val="5"/>
              <w:rPr>
                <w:rFonts w:hint="eastAsia"/>
                <w:lang w:val="en-US" w:eastAsia="zh-CN"/>
              </w:rPr>
            </w:pPr>
            <w:r>
              <w:rPr>
                <w:rFonts w:hint="eastAsia"/>
                <w:lang w:val="en-US" w:eastAsia="zh-CN"/>
              </w:rPr>
              <w:t xml:space="preserve">  </w:t>
            </w:r>
          </w:p>
        </w:tc>
        <w:tc>
          <w:tcPr>
            <w:tcW w:w="825" w:type="dxa"/>
            <w:noWrap w:val="0"/>
            <w:vAlign w:val="center"/>
          </w:tcPr>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p>
        </w:tc>
        <w:tc>
          <w:tcPr>
            <w:tcW w:w="795" w:type="dxa"/>
            <w:noWrap w:val="0"/>
            <w:vAlign w:val="top"/>
          </w:tcPr>
          <w:p>
            <w:pPr>
              <w:keepNext w:val="0"/>
              <w:keepLines w:val="0"/>
              <w:widowControl/>
              <w:numPr>
                <w:ilvl w:val="0"/>
                <w:numId w:val="0"/>
              </w:numPr>
              <w:suppressLineNumbers w:val="0"/>
              <w:jc w:val="left"/>
              <w:rPr>
                <w:rFonts w:hint="default"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b/>
                <w:bCs/>
                <w:color w:val="000000"/>
                <w:kern w:val="0"/>
                <w:sz w:val="24"/>
                <w:szCs w:val="24"/>
                <w:vertAlign w:val="baseline"/>
                <w:lang w:val="en-US" w:eastAsia="zh-CN" w:bidi="ar"/>
              </w:rPr>
              <w:t>3</w:t>
            </w:r>
          </w:p>
        </w:tc>
        <w:tc>
          <w:tcPr>
            <w:tcW w:w="870" w:type="dxa"/>
            <w:noWrap w:val="0"/>
            <w:vAlign w:val="center"/>
          </w:tcPr>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防火墙</w:t>
            </w:r>
          </w:p>
        </w:tc>
        <w:tc>
          <w:tcPr>
            <w:tcW w:w="8085" w:type="dxa"/>
            <w:noWrap w:val="0"/>
            <w:vAlign w:val="top"/>
          </w:tcPr>
          <w:p>
            <w:pPr>
              <w:keepNext w:val="0"/>
              <w:keepLines w:val="0"/>
              <w:widowControl/>
              <w:numPr>
                <w:ilvl w:val="0"/>
                <w:numId w:val="3"/>
              </w:numPr>
              <w:suppressLineNumbers w:val="0"/>
              <w:jc w:val="left"/>
              <w:rPr>
                <w:rFonts w:hint="eastAsia" w:ascii="宋体" w:hAnsi="宋体" w:eastAsia="宋体" w:cs="宋体"/>
                <w:sz w:val="24"/>
                <w:szCs w:val="24"/>
              </w:rPr>
            </w:pPr>
            <w:r>
              <w:rPr>
                <w:rFonts w:hint="eastAsia" w:ascii="宋体" w:hAnsi="宋体" w:eastAsia="宋体" w:cs="宋体"/>
                <w:sz w:val="24"/>
                <w:szCs w:val="24"/>
              </w:rPr>
              <w:t>网络层吞吐量≥</w:t>
            </w:r>
            <w:r>
              <w:rPr>
                <w:rFonts w:hint="eastAsia" w:ascii="宋体" w:hAnsi="宋体" w:eastAsia="宋体" w:cs="宋体"/>
                <w:sz w:val="24"/>
                <w:szCs w:val="24"/>
                <w:lang w:val="en-US" w:eastAsia="zh-CN"/>
              </w:rPr>
              <w:t>20</w:t>
            </w:r>
            <w:r>
              <w:rPr>
                <w:rFonts w:hint="eastAsia" w:ascii="宋体" w:hAnsi="宋体" w:eastAsia="宋体" w:cs="宋体"/>
                <w:sz w:val="24"/>
                <w:szCs w:val="24"/>
              </w:rPr>
              <w:t>Gbps，应用层吞吐量≥</w:t>
            </w:r>
            <w:r>
              <w:rPr>
                <w:rFonts w:hint="eastAsia" w:ascii="宋体" w:hAnsi="宋体" w:eastAsia="宋体" w:cs="宋体"/>
                <w:sz w:val="24"/>
                <w:szCs w:val="24"/>
                <w:lang w:val="en-US" w:eastAsia="zh-CN"/>
              </w:rPr>
              <w:t>8G</w:t>
            </w:r>
            <w:r>
              <w:rPr>
                <w:rFonts w:hint="eastAsia" w:ascii="宋体" w:hAnsi="宋体" w:eastAsia="宋体" w:cs="宋体"/>
                <w:sz w:val="24"/>
                <w:szCs w:val="24"/>
              </w:rPr>
              <w:t>bps，并发连接数≥</w:t>
            </w:r>
            <w:r>
              <w:rPr>
                <w:rFonts w:hint="eastAsia" w:ascii="宋体" w:hAnsi="宋体" w:eastAsia="宋体" w:cs="宋体"/>
                <w:sz w:val="24"/>
                <w:szCs w:val="24"/>
                <w:lang w:val="en-US" w:eastAsia="zh-CN"/>
              </w:rPr>
              <w:t>220万</w:t>
            </w:r>
            <w:r>
              <w:rPr>
                <w:rFonts w:hint="eastAsia" w:ascii="宋体" w:hAnsi="宋体" w:eastAsia="宋体" w:cs="宋体"/>
                <w:sz w:val="24"/>
                <w:szCs w:val="24"/>
              </w:rPr>
              <w:t>，新建连接数（CPS）≥</w:t>
            </w:r>
            <w:r>
              <w:rPr>
                <w:rFonts w:hint="eastAsia" w:ascii="宋体" w:hAnsi="宋体" w:eastAsia="宋体" w:cs="宋体"/>
                <w:sz w:val="24"/>
                <w:szCs w:val="24"/>
                <w:lang w:val="en-US" w:eastAsia="zh-CN"/>
              </w:rPr>
              <w:t>15万</w:t>
            </w:r>
            <w:r>
              <w:rPr>
                <w:rFonts w:hint="eastAsia" w:ascii="宋体" w:hAnsi="宋体" w:eastAsia="宋体" w:cs="宋体"/>
                <w:sz w:val="24"/>
                <w:szCs w:val="24"/>
              </w:rPr>
              <w:t>，SSL最大加密流量≥</w:t>
            </w:r>
            <w:r>
              <w:rPr>
                <w:rFonts w:hint="eastAsia" w:ascii="宋体" w:hAnsi="宋体" w:eastAsia="宋体" w:cs="宋体"/>
                <w:sz w:val="24"/>
                <w:szCs w:val="24"/>
                <w:lang w:val="en-US" w:eastAsia="zh-CN"/>
              </w:rPr>
              <w:t>35</w:t>
            </w:r>
            <w:r>
              <w:rPr>
                <w:rFonts w:hint="eastAsia" w:ascii="宋体" w:hAnsi="宋体" w:eastAsia="宋体" w:cs="宋体"/>
                <w:sz w:val="24"/>
                <w:szCs w:val="24"/>
              </w:rPr>
              <w:t>0M，IPSec VPN最大接入数≥1000，IPSec VPN≥加密速度</w:t>
            </w:r>
            <w:r>
              <w:rPr>
                <w:rFonts w:hint="eastAsia" w:ascii="宋体" w:hAnsi="宋体" w:eastAsia="宋体" w:cs="宋体"/>
                <w:sz w:val="24"/>
                <w:szCs w:val="24"/>
                <w:lang w:val="en-US" w:eastAsia="zh-CN"/>
              </w:rPr>
              <w:t>400</w:t>
            </w:r>
            <w:r>
              <w:rPr>
                <w:rFonts w:hint="eastAsia" w:ascii="宋体" w:hAnsi="宋体" w:eastAsia="宋体" w:cs="宋体"/>
                <w:sz w:val="24"/>
                <w:szCs w:val="24"/>
              </w:rPr>
              <w:t xml:space="preserve">M。 </w:t>
            </w:r>
            <w:r>
              <w:rPr>
                <w:rFonts w:hint="eastAsia" w:ascii="宋体" w:hAnsi="宋体" w:eastAsia="宋体" w:cs="宋体"/>
                <w:color w:val="auto"/>
                <w:sz w:val="24"/>
                <w:szCs w:val="24"/>
              </w:rPr>
              <w:t>至少具备</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个千兆电口</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2个万兆光口</w:t>
            </w:r>
            <w:r>
              <w:rPr>
                <w:rFonts w:hint="eastAsia" w:ascii="宋体" w:hAnsi="宋体" w:eastAsia="宋体" w:cs="宋体"/>
                <w:b w:val="0"/>
                <w:bCs w:val="0"/>
                <w:color w:val="000000"/>
                <w:kern w:val="0"/>
                <w:sz w:val="24"/>
                <w:szCs w:val="24"/>
                <w:vertAlign w:val="baseline"/>
                <w:lang w:val="en-US" w:eastAsia="zh-CN" w:bidi="ar"/>
              </w:rPr>
              <w:t>SFP+</w:t>
            </w:r>
            <w:r>
              <w:rPr>
                <w:rFonts w:hint="eastAsia" w:ascii="宋体" w:hAnsi="宋体" w:cs="宋体"/>
                <w:b w:val="0"/>
                <w:bCs w:val="0"/>
                <w:color w:val="000000"/>
                <w:kern w:val="0"/>
                <w:sz w:val="24"/>
                <w:szCs w:val="24"/>
                <w:vertAlign w:val="baseline"/>
                <w:lang w:val="en-US" w:eastAsia="zh-CN" w:bidi="ar"/>
              </w:rPr>
              <w:t>（含满配光模块），</w:t>
            </w:r>
            <w:r>
              <w:rPr>
                <w:rFonts w:hint="eastAsia" w:ascii="宋体" w:hAnsi="宋体" w:eastAsia="宋体" w:cs="宋体"/>
                <w:sz w:val="24"/>
                <w:szCs w:val="24"/>
              </w:rPr>
              <w:t>2个USB口和1个RJ45串口，交流冗余电源（220V）</w:t>
            </w:r>
            <w:r>
              <w:rPr>
                <w:rFonts w:hint="eastAsia" w:ascii="宋体" w:hAnsi="宋体" w:cs="宋体"/>
                <w:sz w:val="24"/>
                <w:szCs w:val="24"/>
                <w:lang w:eastAsia="zh-CN"/>
              </w:rPr>
              <w:t>，</w:t>
            </w:r>
            <w:r>
              <w:rPr>
                <w:rFonts w:hint="eastAsia" w:ascii="宋体" w:hAnsi="宋体" w:eastAsia="宋体" w:cs="宋体"/>
                <w:sz w:val="24"/>
                <w:szCs w:val="24"/>
              </w:rPr>
              <w:t>标准机架设备</w:t>
            </w:r>
            <w:r>
              <w:rPr>
                <w:rFonts w:hint="eastAsia" w:ascii="宋体" w:hAnsi="宋体" w:cs="宋体"/>
                <w:sz w:val="24"/>
                <w:szCs w:val="24"/>
                <w:lang w:eastAsia="zh-CN"/>
              </w:rPr>
              <w:t>；</w:t>
            </w:r>
          </w:p>
          <w:p>
            <w:pPr>
              <w:keepNext w:val="0"/>
              <w:keepLines w:val="0"/>
              <w:widowControl/>
              <w:numPr>
                <w:ilvl w:val="0"/>
                <w:numId w:val="3"/>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产品采用自主知识产权的专用操作系统，应用多核并行处理技术保障产品处理性能，需提供公安部计算机信息系统安全产品质量监督检验中心、中国信息安全测评中心、中华人民共和国国家版权局、公安部信息安全产品检测中心之中任意一家检测机构出具关于“多核并行安全操作系统”的证书</w:t>
            </w:r>
            <w:r>
              <w:rPr>
                <w:rFonts w:hint="eastAsia" w:ascii="宋体" w:hAnsi="宋体" w:eastAsia="宋体" w:cs="宋体"/>
                <w:sz w:val="24"/>
                <w:szCs w:val="24"/>
                <w:lang w:eastAsia="zh-CN"/>
              </w:rPr>
              <w:t>；</w:t>
            </w:r>
          </w:p>
          <w:p>
            <w:pPr>
              <w:keepNext w:val="0"/>
              <w:keepLines w:val="0"/>
              <w:widowControl/>
              <w:numPr>
                <w:ilvl w:val="0"/>
                <w:numId w:val="3"/>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支持链路健康检查功能，支持基于多种协议对链路可用性进行探测，探测协议至少包括DNS解析、ARP探测和PING方式</w:t>
            </w:r>
            <w:r>
              <w:rPr>
                <w:rFonts w:hint="eastAsia" w:ascii="宋体" w:hAnsi="宋体" w:eastAsia="宋体" w:cs="宋体"/>
                <w:sz w:val="24"/>
                <w:szCs w:val="24"/>
                <w:lang w:eastAsia="zh-CN"/>
              </w:rPr>
              <w:t>；</w:t>
            </w:r>
          </w:p>
          <w:p>
            <w:pPr>
              <w:keepNext w:val="0"/>
              <w:keepLines w:val="0"/>
              <w:widowControl/>
              <w:numPr>
                <w:ilvl w:val="0"/>
                <w:numId w:val="3"/>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产品支持策略路由负载，支持基于服务、ISP地址、应用等维度进行智能选路，保证关键业务流量通过优质链路转发，支持加权流量、带宽比例、线路优先等负载均衡调度算法。</w:t>
            </w:r>
            <w:r>
              <w:rPr>
                <w:rFonts w:hint="eastAsia" w:ascii="宋体" w:hAnsi="宋体" w:eastAsia="宋体" w:cs="宋体"/>
                <w:b w:val="0"/>
                <w:bCs w:val="0"/>
                <w:color w:val="000000"/>
                <w:kern w:val="0"/>
                <w:sz w:val="24"/>
                <w:szCs w:val="24"/>
                <w:vertAlign w:val="baseline"/>
                <w:lang w:val="en-US" w:eastAsia="zh-CN" w:bidi="ar"/>
              </w:rPr>
              <w:t>（需提供相关功能截图证明）</w:t>
            </w:r>
            <w:r>
              <w:rPr>
                <w:rFonts w:hint="eastAsia" w:ascii="宋体" w:hAnsi="宋体" w:eastAsia="宋体" w:cs="宋体"/>
                <w:sz w:val="24"/>
                <w:szCs w:val="24"/>
              </w:rPr>
              <w:t>；</w:t>
            </w:r>
          </w:p>
          <w:p>
            <w:pPr>
              <w:keepNext w:val="0"/>
              <w:keepLines w:val="0"/>
              <w:widowControl/>
              <w:numPr>
                <w:ilvl w:val="0"/>
                <w:numId w:val="3"/>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产品支持僵尸主机检测功能，产品预定义特征库超过110万种，可识别主机的异常外联行为</w:t>
            </w:r>
            <w:r>
              <w:rPr>
                <w:rFonts w:hint="eastAsia" w:ascii="宋体" w:hAnsi="宋体" w:cs="宋体"/>
                <w:sz w:val="24"/>
                <w:szCs w:val="24"/>
                <w:lang w:eastAsia="zh-CN"/>
              </w:rPr>
              <w:t>；</w:t>
            </w:r>
          </w:p>
          <w:p>
            <w:pPr>
              <w:keepNext w:val="0"/>
              <w:keepLines w:val="0"/>
              <w:widowControl/>
              <w:numPr>
                <w:ilvl w:val="0"/>
                <w:numId w:val="3"/>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产品支持管理员双因素认证功能，用户通过用户名/密码和Key等不同方式登陆产品管理界面</w:t>
            </w:r>
            <w:r>
              <w:rPr>
                <w:rFonts w:hint="eastAsia" w:ascii="宋体" w:hAnsi="宋体" w:cs="宋体"/>
                <w:sz w:val="24"/>
                <w:szCs w:val="24"/>
                <w:lang w:eastAsia="zh-CN"/>
              </w:rPr>
              <w:t>；</w:t>
            </w:r>
          </w:p>
          <w:p>
            <w:pPr>
              <w:keepNext w:val="0"/>
              <w:keepLines w:val="0"/>
              <w:widowControl/>
              <w:numPr>
                <w:ilvl w:val="0"/>
                <w:numId w:val="3"/>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★产品支持勒索病毒检测与防御功能，为保障勒索病毒的防御效果，所投产品必须提供具备CMA（中国国家认证认可监督管理委员会）认证的第三方权威机构关于“勒索软件通信防护”功能项的产品检测报告</w:t>
            </w:r>
            <w:r>
              <w:rPr>
                <w:rFonts w:hint="eastAsia" w:ascii="宋体" w:hAnsi="宋体" w:cs="宋体"/>
                <w:sz w:val="24"/>
                <w:szCs w:val="24"/>
                <w:lang w:eastAsia="zh-CN"/>
              </w:rPr>
              <w:t>；</w:t>
            </w:r>
          </w:p>
          <w:p>
            <w:pPr>
              <w:keepNext w:val="0"/>
              <w:keepLines w:val="0"/>
              <w:widowControl/>
              <w:numPr>
                <w:ilvl w:val="0"/>
                <w:numId w:val="3"/>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支持IPSec VPN智能选路功能，根据线路质量实现自动链路切换。（</w:t>
            </w:r>
            <w:r>
              <w:rPr>
                <w:rFonts w:hint="eastAsia" w:ascii="宋体" w:hAnsi="宋体" w:eastAsia="宋体" w:cs="宋体"/>
                <w:bCs/>
                <w:kern w:val="0"/>
                <w:sz w:val="24"/>
                <w:szCs w:val="24"/>
              </w:rPr>
              <w:t>需提供产品功能截图证明）</w:t>
            </w:r>
            <w:r>
              <w:rPr>
                <w:rFonts w:hint="eastAsia" w:ascii="宋体" w:hAnsi="宋体" w:cs="宋体"/>
                <w:bCs/>
                <w:kern w:val="0"/>
                <w:sz w:val="24"/>
                <w:szCs w:val="24"/>
                <w:lang w:eastAsia="zh-CN"/>
              </w:rPr>
              <w:t>；</w:t>
            </w:r>
          </w:p>
          <w:p>
            <w:pPr>
              <w:keepNext w:val="0"/>
              <w:keepLines w:val="0"/>
              <w:widowControl/>
              <w:numPr>
                <w:ilvl w:val="0"/>
                <w:numId w:val="3"/>
              </w:numPr>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rPr>
              <w:t>厂商为国家信息安全漏洞共享平台CNVD技术组</w:t>
            </w:r>
            <w:r>
              <w:rPr>
                <w:rFonts w:hint="eastAsia" w:ascii="宋体" w:hAnsi="宋体" w:cs="宋体"/>
                <w:sz w:val="24"/>
                <w:szCs w:val="24"/>
                <w:lang w:eastAsia="zh-CN"/>
              </w:rPr>
              <w:t>成员单位</w:t>
            </w:r>
            <w:r>
              <w:rPr>
                <w:rFonts w:hint="eastAsia" w:ascii="宋体" w:hAnsi="宋体" w:eastAsia="宋体" w:cs="宋体"/>
                <w:sz w:val="24"/>
                <w:szCs w:val="24"/>
              </w:rPr>
              <w:t>，提供CNVD官网截图证明或证书复印件；</w:t>
            </w:r>
          </w:p>
          <w:p>
            <w:pPr>
              <w:keepNext w:val="0"/>
              <w:keepLines w:val="0"/>
              <w:widowControl/>
              <w:numPr>
                <w:ilvl w:val="0"/>
                <w:numId w:val="3"/>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厂商应是国家互联网应急中心（CNCERT）服务支撑单</w:t>
            </w:r>
            <w:r>
              <w:rPr>
                <w:rFonts w:hint="eastAsia" w:ascii="宋体" w:hAnsi="宋体" w:cs="宋体"/>
                <w:sz w:val="24"/>
                <w:szCs w:val="24"/>
                <w:lang w:eastAsia="zh-CN"/>
              </w:rPr>
              <w:t>位</w:t>
            </w:r>
            <w:r>
              <w:rPr>
                <w:rFonts w:hint="eastAsia" w:ascii="宋体" w:hAnsi="宋体" w:eastAsia="宋体" w:cs="宋体"/>
                <w:sz w:val="24"/>
                <w:szCs w:val="24"/>
              </w:rPr>
              <w:t>，提供相关证明材料</w:t>
            </w:r>
            <w:r>
              <w:rPr>
                <w:rFonts w:hint="default" w:ascii="宋体" w:hAnsi="宋体" w:eastAsia="宋体" w:cs="宋体"/>
                <w:sz w:val="24"/>
                <w:szCs w:val="24"/>
                <w:lang w:eastAsia="zh-CN"/>
              </w:rPr>
              <w:t>。</w:t>
            </w:r>
          </w:p>
          <w:p>
            <w:pPr>
              <w:keepNext w:val="0"/>
              <w:keepLines w:val="0"/>
              <w:widowControl/>
              <w:numPr>
                <w:ilvl w:val="0"/>
                <w:numId w:val="3"/>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要求提供上门安装调试及工程师3年7×24小时免费上门服务，提供原厂出具的针对本项目的授权书、服务承诺函，提供3年免费软硬件质保</w:t>
            </w:r>
            <w:r>
              <w:rPr>
                <w:rFonts w:hint="eastAsia" w:ascii="宋体" w:hAnsi="宋体" w:cs="宋体"/>
                <w:sz w:val="24"/>
                <w:szCs w:val="24"/>
                <w:lang w:eastAsia="zh-CN"/>
              </w:rPr>
              <w:t>、入侵检测、病毒库升级服务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Hans"/>
              </w:rPr>
              <w:t>并承诺在运维服务期间如出现网络安全事故</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承担相应责任</w:t>
            </w:r>
            <w:r>
              <w:rPr>
                <w:rFonts w:hint="default" w:ascii="宋体" w:hAnsi="宋体" w:eastAsia="宋体" w:cs="宋体"/>
                <w:sz w:val="24"/>
                <w:szCs w:val="24"/>
                <w:lang w:eastAsia="zh-Hans"/>
              </w:rPr>
              <w:t>。</w:t>
            </w:r>
          </w:p>
        </w:tc>
        <w:tc>
          <w:tcPr>
            <w:tcW w:w="825" w:type="dxa"/>
            <w:noWrap w:val="0"/>
            <w:vAlign w:val="center"/>
          </w:tcPr>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p>
        </w:tc>
        <w:tc>
          <w:tcPr>
            <w:tcW w:w="795" w:type="dxa"/>
            <w:noWrap w:val="0"/>
            <w:vAlign w:val="top"/>
          </w:tcPr>
          <w:p>
            <w:pPr>
              <w:keepNext w:val="0"/>
              <w:keepLines w:val="0"/>
              <w:widowControl/>
              <w:numPr>
                <w:ilvl w:val="0"/>
                <w:numId w:val="0"/>
              </w:numPr>
              <w:suppressLineNumbers w:val="0"/>
              <w:jc w:val="left"/>
              <w:rPr>
                <w:rFonts w:hint="default"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b/>
                <w:bCs/>
                <w:color w:val="000000"/>
                <w:kern w:val="0"/>
                <w:sz w:val="24"/>
                <w:szCs w:val="24"/>
                <w:vertAlign w:val="baseline"/>
                <w:lang w:val="en-US" w:eastAsia="zh-CN" w:bidi="ar"/>
              </w:rPr>
              <w:t>4</w:t>
            </w:r>
          </w:p>
        </w:tc>
        <w:tc>
          <w:tcPr>
            <w:tcW w:w="870" w:type="dxa"/>
            <w:noWrap w:val="0"/>
            <w:vAlign w:val="center"/>
          </w:tcPr>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web应用防护</w:t>
            </w:r>
            <w:r>
              <w:rPr>
                <w:rFonts w:hint="eastAsia" w:ascii="宋体" w:hAnsi="宋体" w:cs="宋体"/>
                <w:b w:val="0"/>
                <w:bCs w:val="0"/>
                <w:color w:val="000000"/>
                <w:kern w:val="0"/>
                <w:sz w:val="24"/>
                <w:szCs w:val="24"/>
                <w:vertAlign w:val="baseline"/>
                <w:lang w:val="en-US" w:eastAsia="zh-CN" w:bidi="ar"/>
              </w:rPr>
              <w:t>墙设备</w:t>
            </w:r>
          </w:p>
        </w:tc>
        <w:tc>
          <w:tcPr>
            <w:tcW w:w="8085" w:type="dxa"/>
            <w:noWrap w:val="0"/>
            <w:vAlign w:val="top"/>
          </w:tcPr>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网络层吞吐量</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20Gbps，HTTP应用层吞吐量</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1Gbps，HTTP新建连接数</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150000，HTTP并发连接数</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2200000。规格：内存</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8G，硬盘容量</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128GB，接口至少6千兆电口+2万兆光口SFP+</w:t>
            </w:r>
            <w:r>
              <w:rPr>
                <w:rFonts w:hint="eastAsia" w:ascii="宋体" w:hAnsi="宋体" w:cs="宋体"/>
                <w:b w:val="0"/>
                <w:bCs w:val="0"/>
                <w:color w:val="000000"/>
                <w:kern w:val="0"/>
                <w:sz w:val="24"/>
                <w:szCs w:val="24"/>
                <w:vertAlign w:val="baseline"/>
                <w:lang w:val="en-US" w:eastAsia="zh-CN" w:bidi="ar"/>
              </w:rPr>
              <w:t>（含满配光模块），交流冗余电源（220V）</w:t>
            </w:r>
            <w:r>
              <w:rPr>
                <w:rFonts w:hint="eastAsia" w:ascii="宋体" w:hAnsi="宋体" w:cs="宋体"/>
                <w:sz w:val="24"/>
                <w:szCs w:val="24"/>
                <w:lang w:eastAsia="zh-CN"/>
              </w:rPr>
              <w:t>，</w:t>
            </w:r>
            <w:r>
              <w:rPr>
                <w:rFonts w:hint="eastAsia" w:ascii="宋体" w:hAnsi="宋体" w:eastAsia="宋体" w:cs="宋体"/>
                <w:sz w:val="24"/>
                <w:szCs w:val="24"/>
              </w:rPr>
              <w:t>标准机架设备</w:t>
            </w:r>
            <w:r>
              <w:rPr>
                <w:rFonts w:hint="eastAsia" w:ascii="宋体" w:hAnsi="宋体" w:cs="宋体"/>
                <w:sz w:val="24"/>
                <w:szCs w:val="24"/>
                <w:lang w:eastAsia="zh-CN"/>
              </w:rPr>
              <w:t>；</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★产品采用多核并行处理架构，提供中国信息安全测评中心、公安部信息安全产品检测中心、中国软件评测中心、国家版权局之中任意一家机构出具的关于“多核并行安全操作系统”的证书或测试报告；</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支持虚拟网线部署、透明部署、路由部署、旁路镜像等多种部署方式，适应复杂使用环境的接入要求</w:t>
            </w:r>
            <w:r>
              <w:rPr>
                <w:rFonts w:hint="eastAsia" w:ascii="宋体" w:hAnsi="宋体" w:eastAsia="宋体" w:cs="宋体"/>
                <w:sz w:val="24"/>
                <w:szCs w:val="24"/>
                <w:lang w:eastAsia="zh-CN"/>
              </w:rPr>
              <w:t>；</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支持识别HTTP异常，包含HTTP方法过滤、HTTP头部字段Referer、User-Agent等注入检测、Host检测、URL溢出检测、POST实体溢出检测、HTTP头部溢出检测、range字段防护、multipart头部字段异常检测、高危头部重复检测</w:t>
            </w:r>
            <w:r>
              <w:rPr>
                <w:rFonts w:hint="eastAsia" w:ascii="宋体" w:hAnsi="宋体" w:eastAsia="宋体" w:cs="宋体"/>
                <w:sz w:val="24"/>
                <w:szCs w:val="24"/>
                <w:lang w:eastAsia="zh-CN"/>
              </w:rPr>
              <w:t>；</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支持超过6200种防护规则。其中Web应用防护规则超过4900种，Web应用漏洞攻击防护规则超过1300种。</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支持漏洞防扫描，包括404页面检测、WAF规则拦截频率检测、目录访问频率检测、使用不常见的HTTP请求方法、匹配强弱规则扫描、敏感文件扫描等扫描行为特征，支持自定义封锁扫描IP封锁时间、支持隐藏服务器信息（需提供相关功能截图证明）；</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产品原生支持BOT防护功能，可过滤机器人自动化流量，非联动其他组件或产品，并支持用户自定义URL保护范围和保护阈值。支持自定义开关获取访问者设备指纹信息</w:t>
            </w:r>
            <w:r>
              <w:rPr>
                <w:rFonts w:hint="eastAsia" w:ascii="宋体" w:hAnsi="宋体" w:eastAsia="宋体" w:cs="宋体"/>
                <w:b w:val="0"/>
                <w:bCs w:val="0"/>
                <w:color w:val="000000"/>
                <w:kern w:val="0"/>
                <w:sz w:val="24"/>
                <w:szCs w:val="24"/>
                <w:vertAlign w:val="baseline"/>
                <w:lang w:val="en-US" w:eastAsia="zh-CN" w:bidi="ar"/>
              </w:rPr>
              <w:t>（需提供相关功能截图证明）</w:t>
            </w:r>
            <w:r>
              <w:rPr>
                <w:rFonts w:hint="eastAsia" w:ascii="宋体" w:hAnsi="宋体" w:eastAsia="宋体" w:cs="宋体"/>
                <w:sz w:val="24"/>
                <w:szCs w:val="24"/>
              </w:rPr>
              <w:t>；</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支持通过被动扫描功能，业务系统进行黑链检测、Webshell检测、漏洞风险检测、配置风险检测、弱口令账户检测（需提供相关功能截图证明）；</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支持针对业务风险汇总，支持展示业务安全状态分布，包括已失陷业务、正在遭受攻击的业务、存在漏洞但暂时未被攻击的业务，以及最近7天内的漏洞风险分布情况</w:t>
            </w:r>
            <w:r>
              <w:rPr>
                <w:rFonts w:hint="eastAsia" w:ascii="宋体" w:hAnsi="宋体" w:eastAsia="宋体" w:cs="宋体"/>
                <w:sz w:val="24"/>
                <w:szCs w:val="24"/>
                <w:lang w:eastAsia="zh-CN"/>
              </w:rPr>
              <w:t>；</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支持以安全策略模板方式快速部署安全策略，安全策略模板支持默认模板和自定义模板等多种格式</w:t>
            </w:r>
            <w:r>
              <w:rPr>
                <w:rFonts w:hint="eastAsia" w:ascii="宋体" w:hAnsi="宋体" w:eastAsia="宋体" w:cs="宋体"/>
                <w:sz w:val="24"/>
                <w:szCs w:val="24"/>
                <w:lang w:eastAsia="zh-CN"/>
              </w:rPr>
              <w:t>；</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要求所投产品具备“Web应用防护系统”级别为EAL3+的信息技术产品安全测评证书,提供有效证书复印件</w:t>
            </w:r>
            <w:r>
              <w:rPr>
                <w:rFonts w:hint="eastAsia" w:ascii="宋体" w:hAnsi="宋体" w:cs="宋体"/>
                <w:b w:val="0"/>
                <w:bCs w:val="0"/>
                <w:color w:val="000000"/>
                <w:kern w:val="0"/>
                <w:sz w:val="24"/>
                <w:szCs w:val="24"/>
                <w:vertAlign w:val="baseline"/>
                <w:lang w:val="en-US" w:eastAsia="zh-CN" w:bidi="ar"/>
              </w:rPr>
              <w:t>；</w:t>
            </w:r>
          </w:p>
          <w:p>
            <w:pPr>
              <w:keepNext w:val="0"/>
              <w:keepLines w:val="0"/>
              <w:widowControl/>
              <w:numPr>
                <w:ilvl w:val="0"/>
                <w:numId w:val="4"/>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★厂商为国家信息安全漏洞共享平台CNVD技术组</w:t>
            </w:r>
            <w:r>
              <w:rPr>
                <w:rFonts w:hint="eastAsia" w:ascii="宋体" w:hAnsi="宋体" w:cs="宋体"/>
                <w:sz w:val="24"/>
                <w:szCs w:val="24"/>
                <w:lang w:eastAsia="zh-CN"/>
              </w:rPr>
              <w:t>成员单位</w:t>
            </w:r>
            <w:r>
              <w:rPr>
                <w:rFonts w:hint="eastAsia" w:ascii="宋体" w:hAnsi="宋体" w:eastAsia="宋体" w:cs="宋体"/>
                <w:b w:val="0"/>
                <w:bCs w:val="0"/>
                <w:color w:val="000000"/>
                <w:kern w:val="0"/>
                <w:sz w:val="24"/>
                <w:szCs w:val="24"/>
                <w:vertAlign w:val="baseline"/>
                <w:lang w:val="en-US" w:eastAsia="zh-CN" w:bidi="ar"/>
              </w:rPr>
              <w:t>，提供CNVD官网截图证明或证书复印件</w:t>
            </w:r>
            <w:r>
              <w:rPr>
                <w:rFonts w:hint="default" w:ascii="宋体" w:hAnsi="宋体" w:eastAsia="宋体" w:cs="宋体"/>
                <w:b w:val="0"/>
                <w:bCs w:val="0"/>
                <w:color w:val="000000"/>
                <w:kern w:val="0"/>
                <w:sz w:val="24"/>
                <w:szCs w:val="24"/>
                <w:vertAlign w:val="baseline"/>
                <w:lang w:eastAsia="zh-CN" w:bidi="ar"/>
              </w:rPr>
              <w:t>。</w:t>
            </w:r>
          </w:p>
        </w:tc>
        <w:tc>
          <w:tcPr>
            <w:tcW w:w="825" w:type="dxa"/>
            <w:noWrap w:val="0"/>
            <w:vAlign w:val="center"/>
          </w:tcPr>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p>
        </w:tc>
        <w:tc>
          <w:tcPr>
            <w:tcW w:w="795" w:type="dxa"/>
            <w:noWrap w:val="0"/>
            <w:vAlign w:val="top"/>
          </w:tcPr>
          <w:p>
            <w:pPr>
              <w:keepNext w:val="0"/>
              <w:keepLines w:val="0"/>
              <w:widowControl/>
              <w:numPr>
                <w:ilvl w:val="0"/>
                <w:numId w:val="0"/>
              </w:numPr>
              <w:suppressLineNumbers w:val="0"/>
              <w:jc w:val="left"/>
              <w:rPr>
                <w:rFonts w:hint="default"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b/>
                <w:bCs/>
                <w:color w:val="000000"/>
                <w:kern w:val="0"/>
                <w:sz w:val="24"/>
                <w:szCs w:val="24"/>
                <w:vertAlign w:val="baseline"/>
                <w:lang w:val="en-US" w:eastAsia="zh-CN" w:bidi="ar"/>
              </w:rPr>
              <w:t>5</w:t>
            </w:r>
          </w:p>
        </w:tc>
        <w:tc>
          <w:tcPr>
            <w:tcW w:w="870" w:type="dxa"/>
            <w:noWrap w:val="0"/>
            <w:vAlign w:val="center"/>
          </w:tcPr>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日志审计</w:t>
            </w:r>
          </w:p>
        </w:tc>
        <w:tc>
          <w:tcPr>
            <w:tcW w:w="8085" w:type="dxa"/>
            <w:noWrap w:val="0"/>
            <w:vAlign w:val="top"/>
          </w:tcPr>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默认包含主机审计许可证书数量</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50</w:t>
            </w:r>
            <w:r>
              <w:rPr>
                <w:rFonts w:hint="eastAsia" w:ascii="宋体" w:hAnsi="宋体" w:cs="宋体"/>
                <w:b w:val="0"/>
                <w:bCs w:val="0"/>
                <w:color w:val="000000"/>
                <w:kern w:val="0"/>
                <w:sz w:val="24"/>
                <w:szCs w:val="24"/>
                <w:vertAlign w:val="baseline"/>
                <w:lang w:val="en-US" w:eastAsia="zh-CN" w:bidi="ar"/>
              </w:rPr>
              <w:t>个，</w:t>
            </w:r>
            <w:r>
              <w:rPr>
                <w:rFonts w:hint="eastAsia" w:ascii="宋体" w:hAnsi="宋体" w:eastAsia="宋体" w:cs="宋体"/>
                <w:b w:val="0"/>
                <w:bCs w:val="0"/>
                <w:color w:val="000000"/>
                <w:kern w:val="0"/>
                <w:sz w:val="24"/>
                <w:szCs w:val="24"/>
                <w:vertAlign w:val="baseline"/>
                <w:lang w:val="en-US" w:eastAsia="zh-CN" w:bidi="ar"/>
              </w:rPr>
              <w:t>最大可扩展审计主机许可数</w:t>
            </w: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b w:val="0"/>
                <w:bCs w:val="0"/>
                <w:color w:val="000000"/>
                <w:kern w:val="0"/>
                <w:sz w:val="24"/>
                <w:szCs w:val="24"/>
                <w:vertAlign w:val="baseline"/>
                <w:lang w:val="en-US" w:eastAsia="zh-CN" w:bidi="ar"/>
              </w:rPr>
              <w:t>0，可用存储量</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2TB，平均每秒处理日志数（eps）最大性能</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3500。规格：标准机架式，硬盘容量</w:t>
            </w:r>
            <w:r>
              <w:rPr>
                <w:rFonts w:hint="eastAsia" w:ascii="宋体" w:hAnsi="宋体" w:eastAsia="宋体" w:cs="宋体"/>
                <w:sz w:val="24"/>
                <w:szCs w:val="24"/>
              </w:rPr>
              <w:t>≥</w:t>
            </w:r>
            <w:r>
              <w:rPr>
                <w:rFonts w:hint="eastAsia" w:ascii="宋体" w:hAnsi="宋体" w:eastAsia="宋体" w:cs="宋体"/>
                <w:b w:val="0"/>
                <w:bCs w:val="0"/>
                <w:color w:val="000000"/>
                <w:kern w:val="0"/>
                <w:sz w:val="24"/>
                <w:szCs w:val="24"/>
                <w:vertAlign w:val="baseline"/>
                <w:lang w:val="en-US" w:eastAsia="zh-CN" w:bidi="ar"/>
              </w:rPr>
              <w:t>2T，接口至少6千兆电口</w:t>
            </w:r>
            <w:r>
              <w:rPr>
                <w:rFonts w:hint="eastAsia" w:ascii="宋体" w:hAnsi="宋体" w:cs="宋体"/>
                <w:b w:val="0"/>
                <w:bCs w:val="0"/>
                <w:color w:val="000000"/>
                <w:kern w:val="0"/>
                <w:sz w:val="24"/>
                <w:szCs w:val="24"/>
                <w:vertAlign w:val="baseline"/>
                <w:lang w:val="en-US" w:eastAsia="zh-CN" w:bidi="ar"/>
              </w:rPr>
              <w:t>；</w:t>
            </w:r>
          </w:p>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系统需全面支持IPv4/IPv6双栈协议，无需在被采集目标系统上安装任何软件；产品功能的实现无需额外增加服务器等设备</w:t>
            </w:r>
            <w:r>
              <w:rPr>
                <w:rFonts w:hint="eastAsia" w:ascii="宋体" w:hAnsi="宋体" w:cs="宋体"/>
                <w:sz w:val="24"/>
                <w:szCs w:val="24"/>
                <w:lang w:eastAsia="zh-CN"/>
              </w:rPr>
              <w:t>，</w:t>
            </w:r>
            <w:r>
              <w:rPr>
                <w:rFonts w:hint="eastAsia" w:ascii="宋体" w:hAnsi="宋体" w:eastAsia="宋体" w:cs="宋体"/>
                <w:sz w:val="24"/>
                <w:szCs w:val="24"/>
              </w:rPr>
              <w:t>采用B/S架构操作方式，无需安装客户端软件</w:t>
            </w:r>
            <w:r>
              <w:rPr>
                <w:rFonts w:hint="eastAsia" w:ascii="宋体" w:hAnsi="宋体" w:cs="宋体"/>
                <w:sz w:val="24"/>
                <w:szCs w:val="24"/>
                <w:lang w:eastAsia="zh-CN"/>
              </w:rPr>
              <w:t>；</w:t>
            </w:r>
          </w:p>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设备支持聚合策略，可根据最大限定实际、最大集合次数、匹配规则配置策略聚合相应的原始日志产生安全事件，安全事件可自定义展示的字段内容，包括：事件类型、名称、级别、发生源IP地址、协议、开始时间、结束时间</w:t>
            </w:r>
            <w:r>
              <w:rPr>
                <w:rFonts w:hint="eastAsia" w:ascii="宋体" w:hAnsi="宋体" w:cs="宋体"/>
                <w:sz w:val="24"/>
                <w:szCs w:val="24"/>
                <w:lang w:eastAsia="zh-CN"/>
              </w:rPr>
              <w:t>等</w:t>
            </w:r>
            <w:r>
              <w:rPr>
                <w:rFonts w:hint="eastAsia" w:ascii="宋体" w:hAnsi="宋体" w:eastAsia="宋体" w:cs="宋体"/>
                <w:sz w:val="24"/>
                <w:szCs w:val="24"/>
              </w:rPr>
              <w:t>，</w:t>
            </w:r>
            <w:r>
              <w:rPr>
                <w:rFonts w:hint="eastAsia" w:ascii="宋体" w:hAnsi="宋体" w:cs="宋体"/>
                <w:sz w:val="24"/>
                <w:szCs w:val="24"/>
                <w:lang w:eastAsia="zh-CN"/>
              </w:rPr>
              <w:t>可</w:t>
            </w:r>
            <w:r>
              <w:rPr>
                <w:rFonts w:hint="eastAsia" w:ascii="宋体" w:hAnsi="宋体" w:eastAsia="宋体" w:cs="宋体"/>
                <w:sz w:val="24"/>
                <w:szCs w:val="24"/>
              </w:rPr>
              <w:t>查看事件详情和原始日志；（要求提供产品功能界面截图并加盖厂商公章证明）</w:t>
            </w:r>
            <w:r>
              <w:rPr>
                <w:rFonts w:hint="eastAsia" w:ascii="宋体" w:hAnsi="宋体" w:eastAsia="宋体" w:cs="宋体"/>
                <w:sz w:val="24"/>
                <w:szCs w:val="24"/>
                <w:lang w:eastAsia="zh-CN"/>
              </w:rPr>
              <w:t>；</w:t>
            </w:r>
          </w:p>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★系统支持数据大屏展示攻击源和目的，可以集中展示安全事件类型、名称、事件等级等信息（要求提供产品功能截图）</w:t>
            </w:r>
            <w:r>
              <w:rPr>
                <w:rFonts w:hint="eastAsia" w:ascii="宋体" w:hAnsi="宋体" w:eastAsia="宋体" w:cs="宋体"/>
                <w:sz w:val="24"/>
                <w:szCs w:val="24"/>
                <w:lang w:eastAsia="zh-CN"/>
              </w:rPr>
              <w:t>；</w:t>
            </w:r>
          </w:p>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支持基于时间切片进行事件统计的方法，并提供国家权威机构出具的证明文件；</w:t>
            </w:r>
          </w:p>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设备具备事件规则关联分析方法并提供国家权威结构出具的证明文件；</w:t>
            </w:r>
          </w:p>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设备支持基于因果式的状态关联分析和基于异常统计模型的检查分析功能，可挖掘不同类型、来源于不同设备或系统的日志或安全事件之间可能存在的关联关系，</w:t>
            </w:r>
            <w:r>
              <w:rPr>
                <w:rFonts w:hint="eastAsia" w:ascii="宋体" w:hAnsi="宋体" w:cs="宋体"/>
                <w:b w:val="0"/>
                <w:bCs w:val="0"/>
                <w:color w:val="000000"/>
                <w:kern w:val="0"/>
                <w:sz w:val="24"/>
                <w:szCs w:val="24"/>
                <w:vertAlign w:val="baseline"/>
                <w:lang w:val="en-US" w:eastAsia="zh-CN" w:bidi="ar"/>
              </w:rPr>
              <w:t>管理界面应</w:t>
            </w:r>
            <w:r>
              <w:rPr>
                <w:rFonts w:hint="eastAsia" w:ascii="宋体" w:hAnsi="宋体" w:eastAsia="宋体" w:cs="宋体"/>
                <w:b w:val="0"/>
                <w:bCs w:val="0"/>
                <w:color w:val="000000"/>
                <w:kern w:val="0"/>
                <w:sz w:val="24"/>
                <w:szCs w:val="24"/>
                <w:vertAlign w:val="baseline"/>
                <w:lang w:val="en-US" w:eastAsia="zh-CN" w:bidi="ar"/>
              </w:rPr>
              <w:t>提供关联规则设置功能</w:t>
            </w:r>
            <w:r>
              <w:rPr>
                <w:rFonts w:hint="eastAsia" w:ascii="宋体" w:hAnsi="宋体" w:eastAsia="宋体" w:cs="宋体"/>
                <w:sz w:val="24"/>
                <w:szCs w:val="24"/>
                <w:lang w:eastAsia="zh-CN"/>
              </w:rPr>
              <w:t>；</w:t>
            </w:r>
          </w:p>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sz w:val="24"/>
                <w:szCs w:val="24"/>
              </w:rPr>
              <w:t>设备支持展示告警，支持告警确认，告警事件包含：事件级别、类型、策略、时间、状态</w:t>
            </w:r>
            <w:r>
              <w:rPr>
                <w:rFonts w:hint="eastAsia" w:ascii="宋体" w:hAnsi="宋体" w:cs="宋体"/>
                <w:sz w:val="24"/>
                <w:szCs w:val="24"/>
                <w:lang w:eastAsia="zh-CN"/>
              </w:rPr>
              <w:t>等</w:t>
            </w:r>
            <w:r>
              <w:rPr>
                <w:rFonts w:hint="eastAsia" w:ascii="宋体" w:hAnsi="宋体" w:eastAsia="宋体" w:cs="宋体"/>
                <w:sz w:val="24"/>
                <w:szCs w:val="24"/>
              </w:rPr>
              <w:t>，</w:t>
            </w:r>
            <w:r>
              <w:rPr>
                <w:rFonts w:hint="eastAsia" w:ascii="宋体" w:hAnsi="宋体" w:cs="宋体"/>
                <w:sz w:val="24"/>
                <w:szCs w:val="24"/>
                <w:lang w:eastAsia="zh-CN"/>
              </w:rPr>
              <w:t>可</w:t>
            </w:r>
            <w:r>
              <w:rPr>
                <w:rFonts w:hint="eastAsia" w:ascii="宋体" w:hAnsi="宋体" w:eastAsia="宋体" w:cs="宋体"/>
                <w:sz w:val="24"/>
                <w:szCs w:val="24"/>
              </w:rPr>
              <w:t>查看事件详情和事件溯源信息；（要求提供产品功能截图）</w:t>
            </w:r>
            <w:r>
              <w:rPr>
                <w:rFonts w:hint="eastAsia" w:ascii="宋体" w:hAnsi="宋体" w:eastAsia="宋体" w:cs="宋体"/>
                <w:sz w:val="24"/>
                <w:szCs w:val="24"/>
                <w:lang w:eastAsia="zh-CN"/>
              </w:rPr>
              <w:t>；</w:t>
            </w:r>
          </w:p>
          <w:p>
            <w:pPr>
              <w:keepNext w:val="0"/>
              <w:keepLines w:val="0"/>
              <w:widowControl/>
              <w:numPr>
                <w:ilvl w:val="0"/>
                <w:numId w:val="5"/>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厂商具有国家计算机网络应急技术处理协调中心颁发的网络安全应急服务支撑单位证书</w:t>
            </w:r>
          </w:p>
          <w:p>
            <w:pPr>
              <w:keepNext w:val="0"/>
              <w:keepLines w:val="0"/>
              <w:widowControl/>
              <w:numPr>
                <w:ilvl w:val="0"/>
                <w:numId w:val="5"/>
              </w:numPr>
              <w:suppressLineNumbers w:val="0"/>
              <w:jc w:val="left"/>
              <w:rPr>
                <w:rFonts w:hint="eastAsia" w:ascii="宋体" w:hAnsi="宋体" w:eastAsia="宋体" w:cs="宋体"/>
                <w:sz w:val="24"/>
                <w:szCs w:val="24"/>
                <w:lang w:val="en-US" w:eastAsia="zh-CN"/>
              </w:rPr>
            </w:pPr>
            <w:r>
              <w:rPr>
                <w:rFonts w:hint="eastAsia" w:ascii="宋体" w:hAnsi="宋体" w:eastAsia="宋体" w:cs="宋体"/>
                <w:b w:val="0"/>
                <w:bCs w:val="0"/>
                <w:color w:val="000000"/>
                <w:kern w:val="0"/>
                <w:sz w:val="24"/>
                <w:szCs w:val="24"/>
                <w:vertAlign w:val="baseline"/>
                <w:lang w:val="en-US" w:eastAsia="zh-CN" w:bidi="ar"/>
              </w:rPr>
              <w:t>产品具有《计算机信息系统安全专用产品销售许可证》，《IT产品信息安全认证证书 ISCCC》</w:t>
            </w:r>
            <w:r>
              <w:rPr>
                <w:rFonts w:hint="eastAsia" w:ascii="宋体" w:hAnsi="宋体" w:cs="宋体"/>
                <w:b w:val="0"/>
                <w:bCs w:val="0"/>
                <w:color w:val="000000"/>
                <w:kern w:val="0"/>
                <w:sz w:val="24"/>
                <w:szCs w:val="24"/>
                <w:vertAlign w:val="baseline"/>
                <w:lang w:val="en-US" w:eastAsia="zh-CN" w:bidi="ar"/>
              </w:rPr>
              <w:t>。</w:t>
            </w:r>
          </w:p>
        </w:tc>
        <w:tc>
          <w:tcPr>
            <w:tcW w:w="82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p>
        </w:tc>
        <w:tc>
          <w:tcPr>
            <w:tcW w:w="795" w:type="dxa"/>
            <w:noWrap w:val="0"/>
            <w:vAlign w:val="top"/>
          </w:tcPr>
          <w:p>
            <w:pPr>
              <w:keepNext w:val="0"/>
              <w:keepLines w:val="0"/>
              <w:widowControl/>
              <w:numPr>
                <w:ilvl w:val="0"/>
                <w:numId w:val="0"/>
              </w:numPr>
              <w:suppressLineNumbers w:val="0"/>
              <w:jc w:val="left"/>
              <w:rPr>
                <w:rFonts w:hint="default"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trPr>
        <w:tc>
          <w:tcPr>
            <w:tcW w:w="4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b/>
                <w:bCs/>
                <w:color w:val="000000"/>
                <w:kern w:val="0"/>
                <w:sz w:val="24"/>
                <w:szCs w:val="24"/>
                <w:vertAlign w:val="baseline"/>
                <w:lang w:val="en-US" w:eastAsia="zh-CN" w:bidi="ar"/>
              </w:rPr>
              <w:t>6</w:t>
            </w:r>
          </w:p>
        </w:tc>
        <w:tc>
          <w:tcPr>
            <w:tcW w:w="870" w:type="dxa"/>
            <w:noWrap w:val="0"/>
            <w:vAlign w:val="center"/>
          </w:tcPr>
          <w:p>
            <w:pPr>
              <w:keepNext w:val="0"/>
              <w:keepLines w:val="0"/>
              <w:widowControl/>
              <w:numPr>
                <w:ilvl w:val="0"/>
                <w:numId w:val="0"/>
              </w:numPr>
              <w:suppressLineNumbers w:val="0"/>
              <w:jc w:val="center"/>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防病毒软件系统</w:t>
            </w:r>
          </w:p>
        </w:tc>
        <w:tc>
          <w:tcPr>
            <w:tcW w:w="8085" w:type="dxa"/>
            <w:noWrap w:val="0"/>
            <w:vAlign w:val="top"/>
          </w:tcPr>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客户端防护</w:t>
            </w:r>
            <w:r>
              <w:rPr>
                <w:rFonts w:hint="eastAsia" w:ascii="宋体" w:hAnsi="宋体" w:cs="宋体"/>
                <w:b w:val="0"/>
                <w:bCs w:val="0"/>
                <w:color w:val="000000"/>
                <w:kern w:val="0"/>
                <w:sz w:val="24"/>
                <w:szCs w:val="24"/>
                <w:vertAlign w:val="baseline"/>
                <w:lang w:val="en-US" w:eastAsia="zh-CN" w:bidi="ar"/>
              </w:rPr>
              <w:t>要求</w:t>
            </w:r>
            <w:r>
              <w:rPr>
                <w:rFonts w:hint="eastAsia" w:ascii="宋体" w:hAnsi="宋体" w:eastAsia="宋体" w:cs="宋体"/>
                <w:b w:val="0"/>
                <w:bCs w:val="0"/>
                <w:color w:val="000000"/>
                <w:kern w:val="0"/>
                <w:sz w:val="24"/>
                <w:szCs w:val="24"/>
                <w:vertAlign w:val="baseline"/>
                <w:lang w:val="en-US" w:eastAsia="zh-CN" w:bidi="ar"/>
              </w:rPr>
              <w:t>：</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1、产品采用B/S架构，支持通过HTTPS方式登录管理控制台，管理控制台访问需进行加密访问；防病毒客户端支持Windows XP、win7/8 Embedded、 Windows 10等操作系统；提供100个客户端授权许可，配置主机防火墙、爆发阻止、Web站点信誉服务、预测机器学习、行为监控、勒索病毒防护功能模块。</w:t>
            </w:r>
            <w:r>
              <w:rPr>
                <w:rFonts w:hint="eastAsia" w:ascii="宋体" w:hAnsi="宋体" w:eastAsia="宋体" w:cs="宋体"/>
                <w:b w:val="0"/>
                <w:bCs w:val="0"/>
                <w:color w:val="auto"/>
                <w:sz w:val="24"/>
                <w:szCs w:val="24"/>
                <w:lang w:bidi="ar"/>
              </w:rPr>
              <w:t>提供三年原厂免费</w:t>
            </w:r>
            <w:r>
              <w:rPr>
                <w:rFonts w:hint="eastAsia" w:ascii="宋体" w:hAnsi="宋体" w:cs="宋体"/>
                <w:b w:val="0"/>
                <w:bCs w:val="0"/>
                <w:color w:val="auto"/>
                <w:sz w:val="24"/>
                <w:szCs w:val="24"/>
                <w:lang w:eastAsia="zh-CN" w:bidi="ar"/>
              </w:rPr>
              <w:t>病毒库</w:t>
            </w:r>
            <w:r>
              <w:rPr>
                <w:rFonts w:hint="eastAsia" w:ascii="宋体" w:hAnsi="宋体" w:eastAsia="宋体" w:cs="宋体"/>
                <w:b w:val="0"/>
                <w:bCs w:val="0"/>
                <w:color w:val="auto"/>
                <w:sz w:val="24"/>
                <w:szCs w:val="24"/>
                <w:lang w:bidi="ar"/>
              </w:rPr>
              <w:t>升级</w:t>
            </w:r>
            <w:r>
              <w:rPr>
                <w:rFonts w:hint="eastAsia" w:ascii="宋体" w:hAnsi="宋体" w:eastAsia="宋体" w:cs="宋体"/>
                <w:b w:val="0"/>
                <w:bCs w:val="0"/>
                <w:color w:val="auto"/>
                <w:sz w:val="24"/>
                <w:szCs w:val="24"/>
                <w:lang w:val="en-US" w:eastAsia="zh-CN" w:bidi="ar"/>
              </w:rPr>
              <w:t>服务</w:t>
            </w:r>
            <w:r>
              <w:rPr>
                <w:rFonts w:hint="eastAsia" w:ascii="宋体" w:hAnsi="宋体" w:cs="宋体"/>
                <w:b w:val="0"/>
                <w:bCs w:val="0"/>
                <w:color w:val="auto"/>
                <w:sz w:val="24"/>
                <w:szCs w:val="24"/>
                <w:lang w:val="en-US" w:eastAsia="zh-CN" w:bidi="ar"/>
              </w:rPr>
              <w:t>。</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2、支持主机入侵检测系统；防病毒软具备个人防火墙功能，有效阻止各种恶意威胁；支持针对终端根据基于源IP（支持IPv6）、目的IP（支持IPv6）、源端口、目的端口、应用程序及注册表项，出站、入站等进行安全配置。</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3、★产品能够实时监控并清除来自各种途径的病毒、木马、蠕虫、恶意软件、勒索软件、黑客工具等恶意威胁；需提供多种扫描引擎不少于五种，针对于机器学习必须使用独立扫描引擎，同时所有防毒引擎必须为自主知识产品非OEM产品。（须提供系统功能截图证明）</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4、对于文件扫描方式至少支持三种以上，包括所有文件统一措施、推荐扫描措施、以及针对不同类型病毒/恶意软件提供不同扫描措施，同时不同病毒/恶意软件类型不少于7种分类。</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5、★支持拦截恶意URL功能，检测并阻止恶意的URL链接，并支持URL地址黑白名单功能；具备Web信誉评估功能，包含HTTPS通信扫描，结合云安全架构自动识别并屏蔽恶意站点，阻止病毒自动更新。（须提供系统功能截图证明）</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6、★具备病毒爆发防御功能，当最新病毒爆发时，可在病毒代码未完成之前自动对网络中的病毒传播端口、共享等进行关闭，切断病毒传播途径，预防最新病毒的攻击。（须提供系统功能截图证明）</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7、能够恢复由勒索软件威胁加密的文件，阻止与勒索软件关联的进程，并防止遭受危害的可执行文件感染网络；具备防勒索软件防护功能，管理界面提供配置项。</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8、对非存储设备，如bluetooth、IEEE 1394接口、红外设备、调制解调器、PCMCIA卡等进行分项权限设置；可对插入移动存储引导区或者移动设备的所有文件进行扫描设置。</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9、支持多种安装方式，至少包括下载安装、MSI程序打包安装、共享安装、Web安装、脚本登录安装和域组策略安装，支持通过管理控制台方式进行远程安装，支持通过WEB方式进行远程安装。</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10、客户端更新实现并发更新数量的控制，同时可以按不同时间段进行更新并发限制；</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11、★资质要求：提供公安部颁发的《计算机信息系统安全专用产品销售许可证》网络版防病毒产品（一级品）证书；生产厂商具备CMMI 5级认证证书；生产厂商具备中国电子工业标准化技术协会颁发的ITSS《信息技术服务标准符合性证书》（业务领域：运行维护服务，评估等级：三级）；</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Hans" w:bidi="ar"/>
              </w:rPr>
              <w:t>服务器防护</w:t>
            </w:r>
            <w:r>
              <w:rPr>
                <w:rFonts w:hint="eastAsia" w:ascii="宋体" w:hAnsi="宋体" w:cs="宋体"/>
                <w:b w:val="0"/>
                <w:bCs w:val="0"/>
                <w:color w:val="000000"/>
                <w:kern w:val="0"/>
                <w:sz w:val="24"/>
                <w:szCs w:val="24"/>
                <w:vertAlign w:val="baseline"/>
                <w:lang w:val="en-US" w:eastAsia="zh-CN" w:bidi="ar"/>
              </w:rPr>
              <w:t>要求：</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1、★控制中心能够与虚拟化平台无缝对接，支持适配主流虚拟化平台，如Vmware、华为FusionSphere、华三CAS等（须提供官方兼容性列表或证明文件）；产品支持有代理和无代理模式部署，并能够实现同一个控制中心管理；本次采用有代理部署模式，提供100个服务器授权许可，配置防病毒、Web信誉检测、功能模块。</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2、提供AV防病毒，防恶意程序功能；提供Web信誉功能，可以阻止用户访问恶意Web站点；支持日志审查，捕获和分析系统日志，为组织提供审计证据。（须提供系统功能截图证明）</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3、支持本地扫描和云安全扫描，具备本地病毒码和云端病毒码，支持实时扫描，预设扫描和、手动扫描和快速扫描。</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4、对病毒的处理措施支持：清除、删除、拒绝访问、隔离、不予处理，系统针对不同的病毒类型提供默认配置，同时支持用户自定义。</w:t>
            </w:r>
          </w:p>
          <w:p>
            <w:pPr>
              <w:keepNext w:val="0"/>
              <w:keepLines w:val="0"/>
              <w:widowControl/>
              <w:numPr>
                <w:ilvl w:val="0"/>
                <w:numId w:val="0"/>
              </w:numPr>
              <w:suppressLineNumbers w:val="0"/>
              <w:jc w:val="left"/>
              <w:rPr>
                <w:rFonts w:hint="eastAsia" w:ascii="宋体" w:hAnsi="宋体" w:cs="宋体"/>
                <w:color w:val="000000"/>
                <w:kern w:val="0"/>
                <w:sz w:val="24"/>
                <w:lang w:bidi="ar"/>
              </w:rPr>
            </w:pPr>
            <w:r>
              <w:rPr>
                <w:rFonts w:hint="eastAsia" w:ascii="宋体" w:hAnsi="宋体" w:cs="宋体"/>
                <w:b w:val="0"/>
                <w:bCs w:val="0"/>
                <w:color w:val="000000"/>
                <w:kern w:val="0"/>
                <w:sz w:val="24"/>
                <w:szCs w:val="24"/>
                <w:vertAlign w:val="baseline"/>
                <w:lang w:val="en-US" w:eastAsia="zh-CN" w:bidi="ar"/>
              </w:rPr>
              <w:t>5、</w:t>
            </w:r>
            <w:r>
              <w:rPr>
                <w:rFonts w:hint="eastAsia" w:ascii="宋体" w:hAnsi="宋体" w:cs="宋体"/>
                <w:color w:val="000000"/>
                <w:kern w:val="0"/>
                <w:sz w:val="24"/>
                <w:lang w:bidi="ar"/>
              </w:rPr>
              <w:t>★支持病毒检测，根据策略对病毒文件进行检测和告警，对病毒样本基本库至少能检测其中的95%，对病毒样本流行库至少能检测其中的98%；根据策略对病毒文件进行检测和告警，对误报样本库的误报率不能超过0.1%；支持对虚拟化环境中统一检测的策略管理,避免统一检测对虚拟化环境应用造成影响。支持即时保护、病毒阻断、病毒隔离；能根据安全策略对病毒文件进行清除，对病毒样本基本库至少能清除其中的90%，对病毒样本流行库至少能清除其中的95%。（上述功能提供具有CMA、CNAS标识的国家计算机病毒应急处理中心计算机病毒防治产品检验实验室出具的检验报告证明）</w:t>
            </w:r>
          </w:p>
          <w:p>
            <w:pPr>
              <w:widowControl/>
              <w:jc w:val="left"/>
              <w:rPr>
                <w:rFonts w:ascii="宋体" w:hAnsi="宋体" w:cs="宋体"/>
                <w:color w:val="000000"/>
                <w:kern w:val="0"/>
                <w:sz w:val="24"/>
                <w:lang w:bidi="ar"/>
              </w:rPr>
            </w:pP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支持推荐扫描，根据不同计算机的扫描结果自动下发对应的入侵防御规则；支持快速定制入侵防御规则。（须提供系统功能截图证明）</w:t>
            </w:r>
          </w:p>
          <w:p>
            <w:pPr>
              <w:widowControl/>
              <w:jc w:val="left"/>
              <w:rPr>
                <w:rFonts w:hint="eastAsia" w:eastAsia="宋体"/>
                <w:lang w:val="en-US" w:eastAsia="zh-CN"/>
              </w:rPr>
            </w:pPr>
            <w:r>
              <w:rPr>
                <w:rFonts w:ascii="宋体" w:hAnsi="宋体" w:cs="宋体"/>
                <w:color w:val="000000"/>
                <w:kern w:val="0"/>
                <w:sz w:val="24"/>
                <w:lang w:bidi="ar"/>
              </w:rPr>
              <w:t>7</w:t>
            </w:r>
            <w:r>
              <w:rPr>
                <w:rFonts w:hint="eastAsia" w:ascii="宋体" w:hAnsi="宋体" w:cs="宋体"/>
                <w:color w:val="000000"/>
                <w:kern w:val="0"/>
                <w:sz w:val="24"/>
                <w:lang w:bidi="ar"/>
              </w:rPr>
              <w:t>、支持扫描资源优化，手动扫描支持CPU资源使用率调整，当CPU超过阈值时暂停或者减少CPU使用率。可以设置CPU占用不高于50%或者20%；防病毒扫描支持VM扫描缓存和多线程处理。</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8、★防火墙功能支持无代理方式部署，实现与NSX集成下发防火墙策略。（须提供系统功能截图证明）</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9、具有应用程序控制功能，应用程序控制模块监控变化，一旦启用应用程序控制，将会记录所有软件更改，并创建事件。</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10、支持完整性监控，能够监控操作系统和关键应用包括注册表项、关键目录、特定目录变更，以防范恶意修改。</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11、支持对主机的日志审计，包括收集和分析操作系统和应用程序日志中的安全事件；支持多种系统事件记录，记录包括管理员、审计员、系统等所有审计日志。</w:t>
            </w:r>
          </w:p>
          <w:p>
            <w:pPr>
              <w:keepNext w:val="0"/>
              <w:keepLines w:val="0"/>
              <w:widowControl/>
              <w:numPr>
                <w:ilvl w:val="0"/>
                <w:numId w:val="0"/>
              </w:numPr>
              <w:suppressLineNumbers w:val="0"/>
              <w:jc w:val="left"/>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12、★资质要求：提供公安部颁发的《计算机信息系统安全专用产品销售许可证》虚拟化安全防护产品（增强级）；生产厂商具备CMMI 5级认证证书；生产厂商具备中国电子工业标准化技术协会颁发的ITSS《信息技术服务标准符合性证书》（业务领域：运行维护服务，评估等级：三级）；</w:t>
            </w:r>
          </w:p>
        </w:tc>
        <w:tc>
          <w:tcPr>
            <w:tcW w:w="82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p>
        </w:tc>
        <w:tc>
          <w:tcPr>
            <w:tcW w:w="795" w:type="dxa"/>
            <w:noWrap w:val="0"/>
            <w:vAlign w:val="top"/>
          </w:tcPr>
          <w:p>
            <w:pPr>
              <w:keepNext w:val="0"/>
              <w:keepLines w:val="0"/>
              <w:widowControl/>
              <w:numPr>
                <w:ilvl w:val="0"/>
                <w:numId w:val="0"/>
              </w:numPr>
              <w:suppressLineNumbers w:val="0"/>
              <w:jc w:val="left"/>
              <w:rPr>
                <w:rFonts w:hint="default"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7" w:hRule="atLeast"/>
        </w:trPr>
        <w:tc>
          <w:tcPr>
            <w:tcW w:w="49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r>
              <w:rPr>
                <w:rFonts w:hint="eastAsia" w:ascii="宋体" w:hAnsi="宋体" w:cs="宋体"/>
                <w:b/>
                <w:bCs/>
                <w:color w:val="000000"/>
                <w:kern w:val="0"/>
                <w:sz w:val="24"/>
                <w:szCs w:val="24"/>
                <w:vertAlign w:val="baseline"/>
                <w:lang w:val="en-US" w:eastAsia="zh-CN" w:bidi="ar"/>
              </w:rPr>
              <w:t>7</w:t>
            </w:r>
          </w:p>
        </w:tc>
        <w:tc>
          <w:tcPr>
            <w:tcW w:w="870" w:type="dxa"/>
            <w:noWrap w:val="0"/>
            <w:vAlign w:val="center"/>
          </w:tcPr>
          <w:p>
            <w:pPr>
              <w:keepNext w:val="0"/>
              <w:keepLines w:val="0"/>
              <w:widowControl/>
              <w:numPr>
                <w:ilvl w:val="0"/>
                <w:numId w:val="0"/>
              </w:numPr>
              <w:suppressLineNumbers w:val="0"/>
              <w:jc w:val="center"/>
              <w:rPr>
                <w:rFonts w:hint="eastAsia" w:ascii="宋体" w:hAnsi="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Web</w:t>
            </w:r>
          </w:p>
          <w:p>
            <w:pPr>
              <w:keepNext w:val="0"/>
              <w:keepLines w:val="0"/>
              <w:widowControl/>
              <w:numPr>
                <w:ilvl w:val="0"/>
                <w:numId w:val="0"/>
              </w:numPr>
              <w:suppressLineNumbers w:val="0"/>
              <w:jc w:val="center"/>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cs="宋体"/>
                <w:b w:val="0"/>
                <w:bCs w:val="0"/>
                <w:color w:val="000000"/>
                <w:kern w:val="0"/>
                <w:sz w:val="24"/>
                <w:szCs w:val="24"/>
                <w:vertAlign w:val="baseline"/>
                <w:lang w:val="en-US" w:eastAsia="zh-CN" w:bidi="ar"/>
              </w:rPr>
              <w:t xml:space="preserve">VPN设备  </w:t>
            </w:r>
          </w:p>
        </w:tc>
        <w:tc>
          <w:tcPr>
            <w:tcW w:w="8085" w:type="dxa"/>
            <w:noWrap w:val="0"/>
            <w:vAlign w:val="top"/>
          </w:tcPr>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基本参数：提供并发用户数≥1000（永久授权）。                                 硬件部署，硬件需满足：至少3.4GHz四核8线程/16G/500G SSD/6个千兆电口,2U/冗余电源。</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产品指标要求：</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1、产品支持WEB VPN模块。产品应在无需安装客户端或控件情况下，在后端进行业务发布方式即可访问学校电子图书资源、OA、科研、财务、教务系统等各类B/S业务系统。产品支持客户登录成功，可以通过点击对应访问图标的方式进行一键式访问。</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2、产品提供支持WEB终端。在不安装任何控件下，支持通过系统访问RDP、VNC、Telnet、SSH等协议资源；</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针对RDP、VNC、Telnet、SSH等协议资源，支持管理员在系统中配置资源账号密码及授权用户，且该账密对用户透明；</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4、针对RDP、VNC、Telnet、SSH等协议资源访问，支持其操作等记录与审计，包括用户账号、用户IP、操作资源、操作时间；且针对SSH、Telnet协议的资源访问，记录其全量操作指令，针对RDP、VNC协议的资源访问记录所有操作过程，且支持通过Web在线视频回放或下载至本地。（提供系统截图加盖公章）</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★5、产品需提供OAuth、CAS、短信认证、LDAP、RADIUS等认证方式。可针对用户支持密码、短信、邮件、等多因素认证，支持多种社交化认证方式，如企业微信、钉钉等。（需提供验证截图）</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6、产品需提供学校统一认证平台的对接，实现校内校外统一认证平台的无感单点登录，用户登录统一认证门户之后，无需二次登陆访问业务。</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7、针对HTTP、HTTPS协议的资源，支持单点登录功能，用户登录门户后再访问目标资源时，无须重复认证；无需针对基于HTTP/HTTPS的应用进行适配，包括绝对路径/特殊代码的适配、子域名/外链的适配、网站改版的更新适配。</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8、产品需支持IPV4 /IPV6双栈接入访问，IPV4和IPV6互访。</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9、产品需与门户系统、网上办事大厅等系统做深度融合，保证用户不受时间地点限制，内外网使用体验感完全一致。</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（1）支持个性化门户（包括门户登录页、导航页内容、导航分组及分组内资源链接），可基于用户的访问权限展示其可访问资源导航，并支持用户自定义收藏夹内容；</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（2）支持HTTPS类型Web资源的证书管理，且系统提供受浏览器信任的证书，对集成的门户及系统应用该SSL证书；</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（3）支持根据用户角色、源地址、资源类型、待访问的资源地址四个方面对资源访问进行控制；支持校内资源外网访问（校内已购图书电子资源等）无需进行适配；</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4）支持判断用户的内外网环境，当用户在校内时，无需通过VPN直接访问网上办事大厅，当用户在校外时，自动加载VPN进行访问，并且直接跳转到办事大厅内，无需点任何图标或者链接，提供该功能的说明承诺函并加盖公章。</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★10、支持设置账号有效期，到期后禁止登录，支持管理员手动延长使用期限。（提供系统截图加盖公章）</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产品提供不少于4路ISP网络接入到用户网络，实现不同ISP线路快速接入，并保障访问的源进源出能力</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图书下载要求：</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1、支持已购买的所有图书电子资源外网访问，无需进行适配；</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★2、支持对图书电子资源下载进行限速控制，当用户下载数量超过设定的阈值，给用户自动进行封禁，提供系统截图加盖公章；</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★3、为了方便图书馆进行电子资源访问统计，需要提供针对图书馆资源的报表功能，包括：电子资源访问统计报表、资源下载统计报表、关键字搜索统计报表、用户下载统计报表等，提供系统截图加盖公章。</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信息安全要求：</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4、产品能够有效阻止外部工具对内部业务系统的扫描探测，并针对所发布的浏览器应用进行URL地址伪装，防止服务器真实IP地址泄露，免遭恶意攻击，保障内部系统安全。且所有访问URL加密为不可逆方式连接，跨浏览器无法通过复制粘贴方式进行进一步访问。</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5、产品支持DES、3DES、SHA、RSA等商用密码以及SM2、SM3、SM4国密算法保障传输安全。</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6、产品客户端支持不依赖虚拟网卡方式建立隧道，从而减少系统的兼容性问题。</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★7、支持访问白名单机制，把不在访问策略范围内的资源直接通过原有路径进行访问。</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★8、支持地址轮询，通过多个IP轮询访问电子资源，且支持对特定资源进行流控,有效规避电子资源方将系统IP地址识别为恶意地址，提供系统截图加盖公章。</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★9、支持动态禁止频繁登录失败用户再次尝试，并支持自定义其失败频率阈值及禁止再次登录时间，提供系统截图加盖公章。</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★10、系统具备暴力防破解功能，支持自动异常登陆封禁IP、账号，支持管理员手动解封禁功能，提供系统截图加盖公章。</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兼容性/用户端侧要求：</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1、产品支持主流浏览器访问：chrome、firefox、360、qq、ie11+、edge等。</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2、产品支持手机、笔记本电脑、台式电脑等终端使用，产品支持当前市面上主流的终端操作系统，如：Linux，Windows 7/8/10+，Mac，ios，Android。</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系统要求：</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1、支持在线升级系统且无需重启，保证业务的连续性；</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2、配置数据、日志数据、性能数据分别采用专用数据库存储，优化数据存储结构，提升数据存取效率；</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3、支持监控系统自身运行状态，包括CPU、内存、负载状态、网卡流量以及磁盘使用情况；</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4、提供与操作系统、数据库以及其他平台软件深度整合的统一介质，能够实现操作系统、数据库、其他平台软件和系统的统一安装；</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★5、支持详细的账户控制策略，包括但不限于：登录时间策略、登录密码复杂度、多因子配置（提供产品截图）。</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日志与报表：</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★6、支持记录与查询全量访问日志，包括用户账号、用户IP、终端、请求时间、访问URL、请求结果等，提供系统截图加盖公章；产品日志支持独立审计功能，产品日志需至少保留180天。</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7、支持记录与查询全量登录日志，包括用户账号、用户IP、登录时间及登录结果；</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★8、支持多种日志分析维度（访问量、浏览器、操作系统、设备类型、请求来源地理位置等，并可根据时间段及不同时间维度（日、周、月、年）进行统计，通过可视化图表展示变化趋势）。（提供产品截图）</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9、支持与专业的日志分析平台及态势感知等安全平台对接，可实现将以IP标识的日志转化为以终端+账号为标识。</w:t>
            </w:r>
          </w:p>
          <w:p>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服务要求：</w:t>
            </w:r>
          </w:p>
          <w:p>
            <w:pPr>
              <w:pStyle w:val="5"/>
              <w:numPr>
                <w:ilvl w:val="0"/>
                <w:numId w:val="0"/>
              </w:numPr>
              <w:rPr>
                <w:rFonts w:hint="eastAsia" w:ascii="仿宋" w:hAnsi="仿宋" w:eastAsia="仿宋" w:cs="仿宋"/>
                <w:b w:val="0"/>
                <w:bCs w:val="0"/>
                <w:color w:val="auto"/>
                <w:sz w:val="24"/>
                <w:lang w:val="en-US" w:eastAsia="zh-CN" w:bidi="ar"/>
              </w:rPr>
            </w:pPr>
            <w:r>
              <w:rPr>
                <w:rFonts w:hint="eastAsia" w:ascii="宋体" w:hAnsi="宋体" w:eastAsia="宋体" w:cs="宋体"/>
                <w:b w:val="0"/>
                <w:bCs w:val="0"/>
                <w:color w:val="000000"/>
                <w:kern w:val="0"/>
                <w:sz w:val="24"/>
                <w:szCs w:val="24"/>
                <w:vertAlign w:val="baseline"/>
                <w:lang w:val="en-US" w:eastAsia="zh-CN" w:bidi="ar"/>
              </w:rPr>
              <w:t>提供三年原厂质保服务和免费升级服务；</w:t>
            </w:r>
          </w:p>
        </w:tc>
        <w:tc>
          <w:tcPr>
            <w:tcW w:w="825" w:type="dxa"/>
            <w:noWrap w:val="0"/>
            <w:vAlign w:val="center"/>
          </w:tcPr>
          <w:p>
            <w:pPr>
              <w:keepNext w:val="0"/>
              <w:keepLines w:val="0"/>
              <w:widowControl/>
              <w:numPr>
                <w:ilvl w:val="0"/>
                <w:numId w:val="0"/>
              </w:numPr>
              <w:suppressLineNumbers w:val="0"/>
              <w:jc w:val="center"/>
              <w:rPr>
                <w:rFonts w:hint="default" w:ascii="宋体" w:hAnsi="宋体" w:eastAsia="宋体" w:cs="宋体"/>
                <w:b/>
                <w:bCs/>
                <w:color w:val="000000"/>
                <w:kern w:val="0"/>
                <w:sz w:val="24"/>
                <w:szCs w:val="24"/>
                <w:vertAlign w:val="baseline"/>
                <w:lang w:val="en-US" w:eastAsia="zh-CN" w:bidi="ar"/>
              </w:rPr>
            </w:pPr>
          </w:p>
        </w:tc>
        <w:tc>
          <w:tcPr>
            <w:tcW w:w="795" w:type="dxa"/>
            <w:noWrap w:val="0"/>
            <w:vAlign w:val="top"/>
          </w:tcPr>
          <w:p>
            <w:pPr>
              <w:keepNext w:val="0"/>
              <w:keepLines w:val="0"/>
              <w:widowControl/>
              <w:numPr>
                <w:ilvl w:val="0"/>
                <w:numId w:val="0"/>
              </w:numPr>
              <w:suppressLineNumbers w:val="0"/>
              <w:jc w:val="left"/>
              <w:rPr>
                <w:rFonts w:hint="default" w:ascii="宋体" w:hAnsi="宋体" w:eastAsia="宋体" w:cs="宋体"/>
                <w:b/>
                <w:bCs/>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1070" w:type="dxa"/>
            <w:gridSpan w:val="5"/>
            <w:noWrap w:val="0"/>
            <w:vAlign w:val="center"/>
          </w:tcPr>
          <w:p>
            <w:pPr>
              <w:keepNext w:val="0"/>
              <w:keepLines w:val="0"/>
              <w:widowControl/>
              <w:numPr>
                <w:ilvl w:val="0"/>
                <w:numId w:val="0"/>
              </w:numPr>
              <w:suppressLineNumbers w:val="0"/>
              <w:jc w:val="left"/>
              <w:rPr>
                <w:rFonts w:hint="default"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注：如以上招标参数中有明显偏向性和专有性参数，请投标单位在参数响应表中备注说明，评标过程中区别对待。</w:t>
            </w:r>
          </w:p>
        </w:tc>
      </w:tr>
    </w:tbl>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val="en-US" w:eastAsia="zh-CN"/>
        </w:rPr>
      </w:pPr>
    </w:p>
    <w:p>
      <w:pPr>
        <w:pStyle w:val="16"/>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lang w:eastAsia="zh-CN"/>
        </w:rPr>
        <w:t>（联系方式）</w:t>
      </w:r>
      <w:r>
        <w:rPr>
          <w:rFonts w:hint="eastAsia" w:ascii="宋体" w:hAnsi="宋体"/>
          <w:b/>
          <w:bCs/>
          <w:color w:val="000000"/>
          <w:sz w:val="28"/>
          <w:szCs w:val="28"/>
        </w:rPr>
        <w:t>：</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default" w:ascii="宋体" w:hAnsi="宋体" w:eastAsia="宋体" w:cs="宋体"/>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p>
      <w:pPr>
        <w:adjustRightInd w:val="0"/>
        <w:snapToGrid w:val="0"/>
        <w:spacing w:before="62" w:beforeLines="20" w:after="62" w:afterLines="20" w:line="540" w:lineRule="exact"/>
        <w:rPr>
          <w:rFonts w:hint="eastAsia" w:ascii="宋体" w:hAnsi="宋体"/>
          <w:b/>
          <w:bCs/>
          <w:color w:val="000000"/>
          <w:sz w:val="30"/>
          <w:lang w:eastAsia="zh-CN"/>
        </w:rPr>
      </w:pPr>
    </w:p>
    <w:p>
      <w:pPr>
        <w:numPr>
          <w:ilvl w:val="0"/>
          <w:numId w:val="6"/>
        </w:num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2"/>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143"/>
        <w:gridCol w:w="989"/>
        <w:gridCol w:w="2337"/>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667"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1259"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580"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1373"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报</w:t>
            </w:r>
            <w:r>
              <w:rPr>
                <w:rFonts w:hint="eastAsia" w:ascii="宋体" w:hAnsi="宋体"/>
                <w:b/>
                <w:bCs/>
                <w:color w:val="auto"/>
                <w:sz w:val="24"/>
                <w:szCs w:val="24"/>
                <w:highlight w:val="none"/>
              </w:rPr>
              <w:t>价（元）</w:t>
            </w:r>
          </w:p>
        </w:tc>
        <w:tc>
          <w:tcPr>
            <w:tcW w:w="1118"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7"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259"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上网行为管理</w:t>
            </w:r>
          </w:p>
        </w:tc>
        <w:tc>
          <w:tcPr>
            <w:tcW w:w="580"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137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7" w:type="pct"/>
            <w:shd w:val="clear" w:color="auto" w:fill="FFFFFF"/>
            <w:noWrap w:val="0"/>
            <w:vAlign w:val="center"/>
          </w:tcPr>
          <w:p>
            <w:pPr>
              <w:widowControl/>
              <w:jc w:val="center"/>
              <w:textAlignment w:val="center"/>
              <w:rPr>
                <w:rFonts w:hint="eastAsia"/>
                <w:lang w:val="en-US" w:eastAsia="zh-CN"/>
              </w:rPr>
            </w:pPr>
          </w:p>
          <w:p>
            <w:pPr>
              <w:pStyle w:val="2"/>
              <w:ind w:left="0" w:leftChars="0" w:firstLine="0" w:firstLineChars="0"/>
              <w:jc w:val="center"/>
              <w:rPr>
                <w:rFonts w:hint="default"/>
                <w:lang w:val="en-US" w:eastAsia="zh-CN"/>
              </w:rPr>
            </w:pPr>
            <w:r>
              <w:rPr>
                <w:rFonts w:hint="eastAsia"/>
                <w:lang w:val="en-US" w:eastAsia="zh-CN"/>
              </w:rPr>
              <w:t>2</w:t>
            </w:r>
          </w:p>
        </w:tc>
        <w:tc>
          <w:tcPr>
            <w:tcW w:w="1259"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数据库审计</w:t>
            </w:r>
          </w:p>
        </w:tc>
        <w:tc>
          <w:tcPr>
            <w:tcW w:w="580"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137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7" w:type="pct"/>
            <w:shd w:val="clear" w:color="auto" w:fill="FFFFFF"/>
            <w:noWrap w:val="0"/>
            <w:vAlign w:val="center"/>
          </w:tcPr>
          <w:p>
            <w:pPr>
              <w:pStyle w:val="2"/>
              <w:ind w:left="0" w:leftChars="0" w:firstLine="0" w:firstLineChars="0"/>
              <w:jc w:val="center"/>
              <w:rPr>
                <w:rFonts w:hint="default"/>
                <w:lang w:val="en-US" w:eastAsia="zh-CN"/>
              </w:rPr>
            </w:pPr>
            <w:r>
              <w:rPr>
                <w:rFonts w:hint="eastAsia"/>
                <w:lang w:val="en-US" w:eastAsia="zh-CN"/>
              </w:rPr>
              <w:t>3</w:t>
            </w:r>
          </w:p>
        </w:tc>
        <w:tc>
          <w:tcPr>
            <w:tcW w:w="1259"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防火墙</w:t>
            </w:r>
          </w:p>
        </w:tc>
        <w:tc>
          <w:tcPr>
            <w:tcW w:w="580"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137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259"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WEB应用防护墙设备</w:t>
            </w:r>
          </w:p>
        </w:tc>
        <w:tc>
          <w:tcPr>
            <w:tcW w:w="580"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137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259"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日志审计</w:t>
            </w:r>
          </w:p>
        </w:tc>
        <w:tc>
          <w:tcPr>
            <w:tcW w:w="580"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137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1259"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防病毒软件系统</w:t>
            </w:r>
          </w:p>
        </w:tc>
        <w:tc>
          <w:tcPr>
            <w:tcW w:w="580"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137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1259"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WEB VPN设备</w:t>
            </w:r>
          </w:p>
        </w:tc>
        <w:tc>
          <w:tcPr>
            <w:tcW w:w="580"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137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1840" w:type="pct"/>
            <w:gridSpan w:val="2"/>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合计总价：</w:t>
            </w:r>
          </w:p>
        </w:tc>
        <w:tc>
          <w:tcPr>
            <w:tcW w:w="1373"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bl>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557"/>
      <w:bookmarkStart w:id="1" w:name="_Toc171581377"/>
      <w:bookmarkStart w:id="2" w:name="_Toc171742000"/>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eastAsia="宋体"/>
                <w:b/>
                <w:smallCaps/>
                <w:color w:val="000000"/>
                <w:sz w:val="24"/>
                <w:lang w:eastAsia="zh-CN"/>
              </w:rPr>
            </w:pPr>
            <w:r>
              <w:rPr>
                <w:rFonts w:hint="eastAsia" w:hAnsi="宋体"/>
                <w:b/>
                <w:smallCaps/>
                <w:color w:val="000000"/>
                <w:sz w:val="24"/>
              </w:rPr>
              <w:t>施工</w:t>
            </w:r>
            <w:r>
              <w:rPr>
                <w:rFonts w:hint="eastAsia" w:hAnsi="宋体"/>
                <w:b/>
                <w:smallCaps/>
                <w:color w:val="000000"/>
                <w:sz w:val="24"/>
                <w:lang w:eastAsia="zh-CN"/>
              </w:rPr>
              <w:t>人员</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9CBEF"/>
    <w:multiLevelType w:val="singleLevel"/>
    <w:tmpl w:val="8D59CBEF"/>
    <w:lvl w:ilvl="0" w:tentative="0">
      <w:start w:val="1"/>
      <w:numFmt w:val="decimal"/>
      <w:lvlText w:val="%1."/>
      <w:lvlJc w:val="left"/>
      <w:pPr>
        <w:tabs>
          <w:tab w:val="left" w:pos="312"/>
        </w:tabs>
      </w:pPr>
    </w:lvl>
  </w:abstractNum>
  <w:abstractNum w:abstractNumId="1">
    <w:nsid w:val="957D8989"/>
    <w:multiLevelType w:val="singleLevel"/>
    <w:tmpl w:val="957D8989"/>
    <w:lvl w:ilvl="0" w:tentative="0">
      <w:start w:val="5"/>
      <w:numFmt w:val="chineseCounting"/>
      <w:suff w:val="nothing"/>
      <w:lvlText w:val="（%1）"/>
      <w:lvlJc w:val="left"/>
      <w:rPr>
        <w:rFonts w:hint="eastAsia"/>
      </w:rPr>
    </w:lvl>
  </w:abstractNum>
  <w:abstractNum w:abstractNumId="2">
    <w:nsid w:val="C7C4006D"/>
    <w:multiLevelType w:val="singleLevel"/>
    <w:tmpl w:val="C7C4006D"/>
    <w:lvl w:ilvl="0" w:tentative="0">
      <w:start w:val="1"/>
      <w:numFmt w:val="decimal"/>
      <w:lvlText w:val="%1."/>
      <w:lvlJc w:val="left"/>
      <w:pPr>
        <w:tabs>
          <w:tab w:val="left" w:pos="312"/>
        </w:tabs>
      </w:pPr>
    </w:lvl>
  </w:abstractNum>
  <w:abstractNum w:abstractNumId="3">
    <w:nsid w:val="3ECB29EC"/>
    <w:multiLevelType w:val="singleLevel"/>
    <w:tmpl w:val="3ECB29EC"/>
    <w:lvl w:ilvl="0" w:tentative="0">
      <w:start w:val="1"/>
      <w:numFmt w:val="decimal"/>
      <w:lvlText w:val="%1."/>
      <w:lvlJc w:val="left"/>
      <w:pPr>
        <w:tabs>
          <w:tab w:val="left" w:pos="312"/>
        </w:tabs>
      </w:pPr>
    </w:lvl>
  </w:abstractNum>
  <w:abstractNum w:abstractNumId="4">
    <w:nsid w:val="4D0A534E"/>
    <w:multiLevelType w:val="singleLevel"/>
    <w:tmpl w:val="4D0A534E"/>
    <w:lvl w:ilvl="0" w:tentative="0">
      <w:start w:val="1"/>
      <w:numFmt w:val="decimal"/>
      <w:lvlText w:val="%1."/>
      <w:lvlJc w:val="left"/>
      <w:pPr>
        <w:tabs>
          <w:tab w:val="left" w:pos="312"/>
        </w:tabs>
      </w:pPr>
    </w:lvl>
  </w:abstractNum>
  <w:abstractNum w:abstractNumId="5">
    <w:nsid w:val="615587D4"/>
    <w:multiLevelType w:val="singleLevel"/>
    <w:tmpl w:val="615587D4"/>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549F0"/>
    <w:rsid w:val="6525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2022-06-30T09:18:00Z</dcterms:created>
  <dc:creator>lenovo</dc:creator>
  <cp:lastModifiedBy>lenovo</cp:lastModifiedBy>
  <dcterms:modified xsi:type="dcterms:W3CDTF">2022-06-30T09:18:31Z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F7C58EBA7AF84B169D6598F70F2ECF89</vt:lpwstr>
  </property>
</Properties>
</file>