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采购需求及报价表</w:t>
      </w:r>
    </w:p>
    <w:tbl>
      <w:tblPr>
        <w:tblStyle w:val="3"/>
        <w:tblW w:w="11025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345"/>
        <w:gridCol w:w="2101"/>
        <w:gridCol w:w="1009"/>
        <w:gridCol w:w="1418"/>
        <w:gridCol w:w="1173"/>
        <w:gridCol w:w="23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1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宽度5.5cm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宽度3.5cm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四联文件框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百事贴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7.6*7.6cm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百事贴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7.6*7.6cm 彩色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宽度4.8cm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宽度2.4cm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宽度1.2cm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宽度1.8cm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18K/114页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18K/80页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软面抄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A5/100页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传真纸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0.5/12支/盒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0.7/12支/盒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1.0/12支/盒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水笔芯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 20支/盒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50支/筒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90*150cm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可调式白板支架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原子油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9g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125ml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A4抽杆文件夹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拉链袋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240页名片册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10.2cm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7.6cm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宽度4.1cm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宽度3.2cm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宽度2.5cm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宽度1.9cm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宽度1.5cm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电水壶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垃圾袋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色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)(40*45)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垃圾袋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黑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)45*54cm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延长线插座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插排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电源插座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电话机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2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注：1、此清单之外的全系列产品享受出厂价的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,产品品牌为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。（普票、专票均为此价格，请填写折扣，结算单价=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出厂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单价*所报折扣）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后期结算时清单内商品按照最终合同价结算，清单以外商品按出厂单价*所报折扣结算。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本次报价含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运输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搬运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到指定位置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及现场清理工作；其中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单次订单有两种形式，（1）集团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月度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或各个单位学期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订货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每月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所需零散订单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（正常情况下每个单位每月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2-3次零散订单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</w:rPr>
              <w:t>甲方在货物初步验收合格后，按照年度合同价格据实结算，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u w:val="none"/>
              </w:rPr>
              <w:t>乙方开具符合甲方要求的正规发票后的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  <w:u w:val="none"/>
              </w:rPr>
              <w:t>个工作日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u w:val="none"/>
              </w:rPr>
              <w:t>内，甲方一次性向乙方支付全部货款</w:t>
            </w: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B2D1"/>
    <w:multiLevelType w:val="singleLevel"/>
    <w:tmpl w:val="0CDFB2D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90A3A"/>
    <w:rsid w:val="52490A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51"/>
    <w:basedOn w:val="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2022-04-21T09:28:00Z</dcterms:created>
  <dc:creator>lenovo</dc:creator>
  <cp:lastModifiedBy>lenovo</cp:lastModifiedBy>
  <dcterms:modified xsi:type="dcterms:W3CDTF">2022-04-21T09:28:48Z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