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leftChars="0" w:firstLine="0" w:firstLineChars="0"/>
        <w:rPr>
          <w:rFonts w:hint="eastAsia" w:ascii="宋体" w:hAnsi="宋体" w:eastAsia="宋体" w:cs="宋体"/>
          <w:b/>
          <w:bCs/>
          <w:color w:val="222222"/>
          <w:kern w:val="0"/>
          <w:sz w:val="24"/>
          <w:lang w:val="en-US" w:eastAsia="zh-CN"/>
        </w:rPr>
      </w:pPr>
      <w:r>
        <w:rPr>
          <w:rFonts w:hint="eastAsia" w:ascii="宋体" w:hAnsi="宋体" w:eastAsia="宋体" w:cs="宋体"/>
          <w:b/>
          <w:bCs/>
          <w:color w:val="222222"/>
          <w:kern w:val="0"/>
          <w:sz w:val="24"/>
          <w:lang w:val="en-US" w:eastAsia="zh-CN"/>
        </w:rPr>
        <w:t>附件一</w:t>
      </w:r>
    </w:p>
    <w:tbl>
      <w:tblPr>
        <w:tblStyle w:val="8"/>
        <w:tblW w:w="506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98"/>
        <w:gridCol w:w="7787"/>
        <w:gridCol w:w="1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sz w:val="24"/>
                <w:lang w:val="en-US" w:eastAsia="zh-CN"/>
              </w:rPr>
            </w:pPr>
            <w:r>
              <w:rPr>
                <w:rFonts w:hint="eastAsia" w:ascii="宋体" w:hAnsi="宋体" w:cs="宋体"/>
                <w:b/>
                <w:sz w:val="24"/>
                <w:lang w:val="en-US" w:eastAsia="zh-CN" w:bidi="ar"/>
              </w:rPr>
              <w:t>产品名称</w:t>
            </w:r>
          </w:p>
        </w:tc>
        <w:tc>
          <w:tcPr>
            <w:tcW w:w="38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b/>
                <w:sz w:val="24"/>
              </w:rPr>
            </w:pPr>
            <w:r>
              <w:rPr>
                <w:rFonts w:hint="eastAsia" w:ascii="宋体" w:hAnsi="宋体" w:cs="宋体"/>
                <w:b/>
                <w:sz w:val="24"/>
                <w:lang w:bidi="ar"/>
              </w:rPr>
              <w:t>技术参数要求</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sz w:val="24"/>
                <w:lang w:eastAsia="zh-CN" w:bidi="ar"/>
              </w:rPr>
            </w:pPr>
            <w:r>
              <w:rPr>
                <w:rFonts w:hint="eastAsia" w:ascii="宋体" w:hAnsi="宋体" w:cs="宋体"/>
                <w:b/>
                <w:sz w:val="24"/>
                <w:lang w:eastAsia="zh-CN" w:bidi="ar"/>
              </w:rPr>
              <w:t>正</w:t>
            </w:r>
            <w:r>
              <w:rPr>
                <w:rFonts w:hint="eastAsia" w:ascii="宋体" w:hAnsi="宋体" w:cs="宋体"/>
                <w:b/>
                <w:sz w:val="24"/>
                <w:lang w:val="en-US" w:eastAsia="zh-CN" w:bidi="ar"/>
              </w:rPr>
              <w:t>/</w:t>
            </w:r>
            <w:r>
              <w:rPr>
                <w:rFonts w:hint="eastAsia" w:ascii="宋体" w:hAnsi="宋体" w:cs="宋体"/>
                <w:b/>
                <w:sz w:val="24"/>
                <w:lang w:eastAsia="zh-CN" w:bidi="ar"/>
              </w:rPr>
              <w:t>负偏离表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43" w:type="pct"/>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b/>
                <w:bCs/>
                <w:sz w:val="24"/>
              </w:rPr>
            </w:pPr>
            <w:r>
              <w:rPr>
                <w:rFonts w:hint="eastAsia" w:ascii="宋体" w:hAnsi="宋体" w:cs="宋体"/>
                <w:b w:val="0"/>
                <w:bCs w:val="0"/>
                <w:sz w:val="24"/>
              </w:rPr>
              <w:t>团体心理训练监测系统</w:t>
            </w:r>
          </w:p>
        </w:tc>
        <w:tc>
          <w:tcPr>
            <w:tcW w:w="3859" w:type="pct"/>
            <w:tcBorders>
              <w:top w:val="single" w:color="000000" w:sz="4" w:space="0"/>
              <w:left w:val="single" w:color="000000" w:sz="4" w:space="0"/>
              <w:right w:val="single" w:color="000000" w:sz="4" w:space="0"/>
            </w:tcBorders>
            <w:noWrap w:val="0"/>
            <w:vAlign w:val="top"/>
          </w:tcPr>
          <w:p>
            <w:pPr>
              <w:rPr>
                <w:rFonts w:hint="eastAsia"/>
                <w:b/>
                <w:bCs/>
              </w:rPr>
            </w:pPr>
            <w:r>
              <w:rPr>
                <w:rFonts w:hint="eastAsia"/>
                <w:b/>
                <w:bCs/>
              </w:rPr>
              <w:t>一、系统构成</w:t>
            </w:r>
          </w:p>
          <w:p>
            <w:pPr>
              <w:rPr>
                <w:rFonts w:hint="eastAsia"/>
              </w:rPr>
            </w:pPr>
            <w:r>
              <w:rPr>
                <w:rFonts w:hint="eastAsia"/>
              </w:rPr>
              <w:t>1、</w:t>
            </w:r>
            <w:r>
              <w:rPr>
                <w:rFonts w:hint="eastAsia"/>
                <w:b/>
                <w:bCs/>
              </w:rPr>
              <w:t>生物反馈训练头带</w:t>
            </w:r>
            <w:r>
              <w:rPr>
                <w:rFonts w:hint="eastAsia"/>
                <w:lang w:val="en-US" w:eastAsia="zh-CN"/>
              </w:rPr>
              <w:t>20个</w:t>
            </w:r>
            <w:r>
              <w:rPr>
                <w:rFonts w:hint="eastAsia"/>
              </w:rPr>
              <w:t>：</w:t>
            </w:r>
          </w:p>
          <w:p>
            <w:pPr>
              <w:rPr>
                <w:rFonts w:hint="eastAsia"/>
              </w:rPr>
            </w:pPr>
            <w:r>
              <w:rPr>
                <w:rFonts w:hint="eastAsia"/>
              </w:rPr>
              <w:t>（1）非侵入式头带设计，可同时采集心率、脑电、等多种生理参数。</w:t>
            </w:r>
          </w:p>
          <w:p>
            <w:pPr>
              <w:rPr>
                <w:rFonts w:hint="eastAsia"/>
              </w:rPr>
            </w:pPr>
            <w:r>
              <w:rPr>
                <w:rFonts w:hint="eastAsia"/>
              </w:rPr>
              <w:t>（2）内带指纹识别模块，可实现快速团体一键登录，5秒内可实现50人登录训练。</w:t>
            </w:r>
          </w:p>
          <w:p>
            <w:pPr>
              <w:rPr>
                <w:rFonts w:hint="eastAsia"/>
              </w:rPr>
            </w:pPr>
            <w:r>
              <w:rPr>
                <w:rFonts w:hint="eastAsia"/>
              </w:rPr>
              <w:t>（3）支持2.4G无线网络高速通信，11M的网络传输速率。</w:t>
            </w:r>
          </w:p>
          <w:p>
            <w:pPr>
              <w:rPr>
                <w:rFonts w:hint="eastAsia"/>
              </w:rPr>
            </w:pPr>
            <w:r>
              <w:rPr>
                <w:rFonts w:hint="eastAsia"/>
              </w:rPr>
              <w:t>（4）内带智能语音提示功能，真人语音合成提示，用户使用更便捷。</w:t>
            </w:r>
          </w:p>
          <w:p>
            <w:pPr>
              <w:rPr>
                <w:rFonts w:hint="eastAsia"/>
              </w:rPr>
            </w:pPr>
            <w:r>
              <w:rPr>
                <w:rFonts w:hint="eastAsia"/>
              </w:rPr>
              <w:t>（5）可拆卸分体设计，方便随时更换清洗头带。</w:t>
            </w:r>
          </w:p>
          <w:p>
            <w:pPr>
              <w:rPr>
                <w:rFonts w:hint="eastAsia"/>
              </w:rPr>
            </w:pPr>
            <w:r>
              <w:rPr>
                <w:rFonts w:hint="eastAsia"/>
              </w:rPr>
              <w:t>（6）全彩LED用户状态实时显示，直观反映训练者当前的训练状态。</w:t>
            </w:r>
          </w:p>
          <w:p>
            <w:pPr>
              <w:rPr>
                <w:rFonts w:hint="eastAsia"/>
              </w:rPr>
            </w:pPr>
            <w:r>
              <w:rPr>
                <w:rFonts w:hint="eastAsia"/>
              </w:rPr>
              <w:t>（7）头带采用医疗环保级复合布料，佩戴吸汗透气。</w:t>
            </w:r>
          </w:p>
          <w:p>
            <w:pPr>
              <w:rPr>
                <w:rFonts w:hint="eastAsia"/>
              </w:rPr>
            </w:pPr>
            <w:r>
              <w:rPr>
                <w:rFonts w:hint="eastAsia"/>
              </w:rPr>
              <w:t>2、无线集中器</w:t>
            </w:r>
          </w:p>
          <w:p>
            <w:pPr>
              <w:rPr>
                <w:rFonts w:hint="eastAsia"/>
              </w:rPr>
            </w:pPr>
            <w:r>
              <w:rPr>
                <w:rFonts w:hint="eastAsia"/>
              </w:rPr>
              <w:t>（1）2.4G无线频段，支持802.11b/g/n协议。</w:t>
            </w:r>
          </w:p>
          <w:p>
            <w:pPr>
              <w:rPr>
                <w:rFonts w:hint="eastAsia"/>
              </w:rPr>
            </w:pPr>
            <w:r>
              <w:rPr>
                <w:rFonts w:hint="eastAsia"/>
              </w:rPr>
              <w:t>（1）单台支持最大支持同时连接32个头带终端。支持多台级联使用，实现多达同时连接100台头带终端进行训练。</w:t>
            </w:r>
          </w:p>
          <w:p>
            <w:pPr>
              <w:rPr>
                <w:rFonts w:hint="eastAsia"/>
              </w:rPr>
            </w:pPr>
            <w:r>
              <w:rPr>
                <w:rFonts w:hint="eastAsia"/>
              </w:rPr>
              <w:t>（2）1000M有线以太网接口。</w:t>
            </w:r>
          </w:p>
          <w:p>
            <w:pPr>
              <w:rPr>
                <w:rFonts w:hint="eastAsia"/>
              </w:rPr>
            </w:pPr>
            <w:r>
              <w:rPr>
                <w:rFonts w:hint="eastAsia"/>
              </w:rPr>
              <w:t>3、团体训练管理软件</w:t>
            </w:r>
          </w:p>
          <w:p>
            <w:pPr>
              <w:rPr>
                <w:rFonts w:hint="eastAsia"/>
              </w:rPr>
            </w:pPr>
            <w:r>
              <w:rPr>
                <w:rFonts w:hint="eastAsia"/>
              </w:rPr>
              <w:t>（1）支持分层组织结构管理，支持用户与管理员账户独立管理。</w:t>
            </w:r>
          </w:p>
          <w:p>
            <w:pPr>
              <w:rPr>
                <w:rFonts w:hint="eastAsia"/>
              </w:rPr>
            </w:pPr>
            <w:r>
              <w:rPr>
                <w:rFonts w:hint="eastAsia"/>
              </w:rPr>
              <w:t>（2）支持多用户同时指纹录入</w:t>
            </w:r>
          </w:p>
          <w:p>
            <w:pPr>
              <w:rPr>
                <w:rFonts w:hint="eastAsia"/>
              </w:rPr>
            </w:pPr>
            <w:r>
              <w:rPr>
                <w:rFonts w:hint="eastAsia"/>
              </w:rPr>
              <w:t>（3）支持双屏显示，训练参数监控与训练画面独立分屏显示。</w:t>
            </w:r>
          </w:p>
          <w:p>
            <w:pPr>
              <w:rPr>
                <w:rFonts w:hint="eastAsia"/>
              </w:rPr>
            </w:pPr>
            <w:r>
              <w:rPr>
                <w:rFonts w:hint="eastAsia"/>
              </w:rPr>
              <w:t>（4）通过网络可同时管理100个头带终端；</w:t>
            </w:r>
          </w:p>
          <w:p>
            <w:pPr>
              <w:rPr>
                <w:rFonts w:hint="eastAsia"/>
              </w:rPr>
            </w:pPr>
            <w:r>
              <w:rPr>
                <w:rFonts w:hint="eastAsia"/>
              </w:rPr>
              <w:t>（5）可对团体训练系统训练数据进行详细的心身指标进行分析，包含脑电、血氧、心率、体温、有交感神经系统活性、交感神经系统平衡性、躯体压力、精神压力、压力指数、疲劳指数、放松指数、稳定指数，HRV实时曲线、HRV功率谱、SCL实时曲线、MHRT、RMSSD、SDNN、PNN50、TP、VLF、LF、HF、 LF/HF、散点图、直方图等身心指标参数；</w:t>
            </w:r>
          </w:p>
          <w:p>
            <w:pPr>
              <w:rPr>
                <w:rFonts w:hint="eastAsia"/>
              </w:rPr>
            </w:pPr>
            <w:r>
              <w:rPr>
                <w:rFonts w:hint="eastAsia"/>
              </w:rPr>
              <w:t>（6）管理软件可通过网络对所有在线团体头带系统进行实时远程监控：状态实时显示等重要功能；</w:t>
            </w:r>
          </w:p>
          <w:p>
            <w:pPr>
              <w:rPr>
                <w:rFonts w:hint="eastAsia"/>
              </w:rPr>
            </w:pPr>
            <w:r>
              <w:rPr>
                <w:rFonts w:hint="eastAsia"/>
              </w:rPr>
              <w:t>（7）用户管理功能：系统分为两大管理模式，分别为：操作员管理和用户管理。</w:t>
            </w:r>
          </w:p>
          <w:p>
            <w:pPr>
              <w:rPr>
                <w:rFonts w:hint="eastAsia"/>
              </w:rPr>
            </w:pPr>
            <w:r>
              <w:rPr>
                <w:rFonts w:hint="eastAsia"/>
              </w:rPr>
              <w:t>（8）数据统计与分析：系统可根据管理员需要对任意个人或群体的指标进行多维度多变量分析，并提供趋势、统计、排行等类比工具和图表，方便管理人员快速筛查出重点关注的用户，以达到预警作用；</w:t>
            </w:r>
          </w:p>
          <w:p>
            <w:pPr>
              <w:rPr>
                <w:rFonts w:hint="eastAsia"/>
              </w:rPr>
            </w:pPr>
            <w:r>
              <w:rPr>
                <w:rFonts w:hint="eastAsia"/>
              </w:rPr>
              <w:t>（9）对于层级单位情况，软件支持对设备进行物理级联透传管理，即每层级在单独管理同时可通过专有透传技术，层层上报管理。</w:t>
            </w:r>
          </w:p>
          <w:p>
            <w:pPr>
              <w:rPr>
                <w:rFonts w:hint="eastAsia"/>
                <w:b/>
                <w:bCs/>
              </w:rPr>
            </w:pPr>
            <w:r>
              <w:rPr>
                <w:rFonts w:hint="eastAsia"/>
                <w:b/>
                <w:bCs/>
              </w:rPr>
              <w:t>二、系统功能</w:t>
            </w:r>
          </w:p>
          <w:p>
            <w:pPr>
              <w:rPr>
                <w:rFonts w:hint="eastAsia"/>
              </w:rPr>
            </w:pPr>
            <w:r>
              <w:rPr>
                <w:rFonts w:hint="eastAsia"/>
              </w:rPr>
              <w:t>1、任务模块，系统支持创建团体和对抗双训练模式。每个任务支持选择多媒体节目播放进行训练，如音乐，视频等；</w:t>
            </w:r>
          </w:p>
          <w:p>
            <w:pPr>
              <w:rPr>
                <w:rFonts w:hint="eastAsia"/>
              </w:rPr>
            </w:pPr>
            <w:r>
              <w:rPr>
                <w:rFonts w:hint="eastAsia"/>
              </w:rPr>
              <w:t>、用户登录模块，有多种方式，可以通过指纹识别登录、点名方式登录；</w:t>
            </w:r>
          </w:p>
          <w:p>
            <w:pPr>
              <w:rPr>
                <w:rFonts w:hint="eastAsia"/>
              </w:rPr>
            </w:pPr>
            <w:r>
              <w:rPr>
                <w:rFonts w:hint="eastAsia"/>
              </w:rPr>
              <w:t>3、状态监控模块，可实时显示所有登录用户训练时个体的心率、放松指数、压力指数、专注度、脑电功率谱、HRV功率谱、血氧、体温等生理参数。同时系统还提供有团体训练时的实时数据：如各项指标占比、用户排行榜、平均走势曲线等。</w:t>
            </w:r>
          </w:p>
          <w:p>
            <w:pPr>
              <w:rPr>
                <w:rFonts w:hint="eastAsia"/>
              </w:rPr>
            </w:pPr>
            <w:r>
              <w:rPr>
                <w:rFonts w:hint="eastAsia"/>
              </w:rPr>
              <w:t>4、报告模块，系统分为团体报告和个人报告 ，可以对各种指标通过饼图展示区间分布，通过柱状图展示数值分布，实时曲线展示指标参数的时间趋势以及训练用户指标排行榜，并通过报表的方式分析显示各种参数。</w:t>
            </w:r>
          </w:p>
          <w:p>
            <w:pPr>
              <w:rPr>
                <w:rFonts w:hint="eastAsia"/>
              </w:rPr>
            </w:pPr>
            <w:r>
              <w:rPr>
                <w:rFonts w:hint="eastAsia"/>
              </w:rPr>
              <w:t>5、用户管理模块，可以对用户进行添加、查看或管理；</w:t>
            </w:r>
          </w:p>
          <w:p>
            <w:pPr>
              <w:rPr>
                <w:rFonts w:hint="eastAsia"/>
              </w:rPr>
            </w:pPr>
            <w:r>
              <w:rPr>
                <w:rFonts w:hint="eastAsia"/>
              </w:rPr>
              <w:t>6、组织结构管理模块，系统支持多达10层的组织结构分层管理，管理员可灵活添加、删除、变更归属。</w:t>
            </w:r>
          </w:p>
          <w:p>
            <w:pPr>
              <w:rPr>
                <w:rFonts w:hint="eastAsia"/>
              </w:rPr>
            </w:pPr>
            <w:r>
              <w:rPr>
                <w:rFonts w:hint="eastAsia"/>
              </w:rPr>
              <w:t>7、节目管理，管理员可对系统内资源根据需要灵活增加或修改各种音视频节目资源；</w:t>
            </w:r>
          </w:p>
          <w:p>
            <w:pPr>
              <w:rPr>
                <w:rFonts w:hint="eastAsia"/>
              </w:rPr>
            </w:pPr>
            <w:r>
              <w:rPr>
                <w:rFonts w:hint="eastAsia"/>
              </w:rPr>
              <w:t>8、系统提供自定义8类事件标记分析功能，管理员可训练过程中对在关键时间点对监控采集数据进行标记分析。</w:t>
            </w:r>
          </w:p>
          <w:p>
            <w:pPr>
              <w:rPr>
                <w:rFonts w:hint="default" w:ascii="宋体" w:hAnsi="宋体" w:cs="宋体"/>
                <w:sz w:val="24"/>
                <w:lang w:bidi="ar"/>
              </w:rPr>
            </w:pPr>
            <w:r>
              <w:rPr>
                <w:rFonts w:hint="eastAsia"/>
              </w:rPr>
              <w:t>9、开放式任务架构设计，系统除支持正常心理训练外，还可用于：应激训练、教学质量评估、团体活动、团体培训等场景的心理状态监控和分析。</w:t>
            </w:r>
          </w:p>
        </w:tc>
        <w:tc>
          <w:tcPr>
            <w:tcW w:w="497" w:type="pct"/>
            <w:tcBorders>
              <w:top w:val="single" w:color="000000" w:sz="4" w:space="0"/>
              <w:left w:val="single" w:color="000000" w:sz="4" w:space="0"/>
              <w:right w:val="single" w:color="000000" w:sz="4" w:space="0"/>
            </w:tcBorders>
            <w:noWrap w:val="0"/>
            <w:vAlign w:val="top"/>
          </w:tcPr>
          <w:p>
            <w:pPr>
              <w:keepNext w:val="0"/>
              <w:keepLines w:val="0"/>
              <w:suppressLineNumbers w:val="0"/>
              <w:autoSpaceDE w:val="0"/>
              <w:autoSpaceDN w:val="0"/>
              <w:snapToGrid w:val="0"/>
              <w:spacing w:before="0" w:beforeAutospacing="0" w:after="0" w:afterAutospacing="0" w:line="360" w:lineRule="auto"/>
              <w:ind w:left="0" w:right="0"/>
              <w:outlineLvl w:val="2"/>
              <w:rPr>
                <w:rFonts w:hint="default" w:ascii="宋体" w:hAnsi="宋体" w:cs="宋体"/>
                <w:sz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trPr>
        <w:tc>
          <w:tcPr>
            <w:tcW w:w="643" w:type="pct"/>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sz w:val="24"/>
              </w:rPr>
            </w:pPr>
            <w:r>
              <w:rPr>
                <w:rFonts w:hint="default" w:ascii="宋体" w:hAnsi="宋体" w:cs="宋体"/>
                <w:b/>
                <w:bCs/>
                <w:sz w:val="24"/>
              </w:rPr>
              <w:t>标准版沙盘</w:t>
            </w:r>
          </w:p>
        </w:tc>
        <w:tc>
          <w:tcPr>
            <w:tcW w:w="3859" w:type="pct"/>
            <w:tcBorders>
              <w:top w:val="single" w:color="000000" w:sz="4" w:space="0"/>
              <w:left w:val="single" w:color="000000" w:sz="4" w:space="0"/>
              <w:bottom w:val="single" w:color="000000" w:sz="4" w:space="0"/>
              <w:right w:val="single" w:color="000000" w:sz="4" w:space="0"/>
            </w:tcBorders>
            <w:noWrap w:val="0"/>
            <w:vAlign w:val="top"/>
          </w:tcPr>
          <w:p>
            <w:pPr>
              <w:rPr>
                <w:rFonts w:hint="default" w:ascii="Times New Roman" w:hAnsi="Times New Roman" w:eastAsia="宋体" w:cs="Times New Roman"/>
              </w:rPr>
            </w:pPr>
            <w:r>
              <w:rPr>
                <w:rFonts w:hint="default" w:ascii="Times New Roman" w:hAnsi="Times New Roman" w:eastAsia="宋体" w:cs="Times New Roman"/>
              </w:rPr>
              <w:t>1、沙具1200个：18大类别，含人物类、宗教类、意象类、风车、灯塔等标志类，军事系列类，野生动物类、家禽类，恐龙怪兽类，公共标识类，交通工具类，公共建筑类，桥栅栏类，日月星辰等自然物类，家居生活类，果蔬类，花草树木类，石头贝壳类等；特有同等大小不同职业的人物沙具（医生、护士、教师、学生、警察、农民、消防员、工人等）。</w:t>
            </w:r>
          </w:p>
          <w:p>
            <w:pPr>
              <w:rPr>
                <w:rFonts w:hint="default" w:ascii="Times New Roman" w:hAnsi="Times New Roman" w:eastAsia="宋体" w:cs="Times New Roman"/>
              </w:rPr>
            </w:pPr>
            <w:r>
              <w:rPr>
                <w:rFonts w:hint="default" w:ascii="Times New Roman" w:hAnsi="Times New Roman" w:eastAsia="宋体" w:cs="Times New Roman"/>
              </w:rPr>
              <w:t>2、沙具材质：陶瓷、树脂、木质、塑料、塑胶、泥质等。可满足不同偏好来访者的需求。形象、逼真，与现实之物极为相似。</w:t>
            </w:r>
          </w:p>
          <w:p>
            <w:pPr>
              <w:rPr>
                <w:rFonts w:hint="default" w:ascii="Times New Roman" w:hAnsi="Times New Roman" w:eastAsia="宋体" w:cs="Times New Roman"/>
              </w:rPr>
            </w:pPr>
            <w:r>
              <w:rPr>
                <w:rFonts w:hint="default" w:ascii="Times New Roman" w:hAnsi="Times New Roman" w:eastAsia="宋体" w:cs="Times New Roman"/>
              </w:rPr>
              <w:t>3、规格尺寸：沙箱1个长720mm，宽570mm，高度700mm，沙箱内径70mm；陈列架长1200mm，宽300mm；高度1600 mm；所有尺寸偏差在±3mm范围内。（响应文件中提供第三方有权检测机构出具的针对所投沙盘（箱庭）设备的测试报告）</w:t>
            </w:r>
          </w:p>
          <w:p>
            <w:pPr>
              <w:rPr>
                <w:rFonts w:hint="default" w:ascii="Times New Roman" w:hAnsi="Times New Roman" w:eastAsia="宋体" w:cs="Times New Roman"/>
              </w:rPr>
            </w:pPr>
            <w:r>
              <w:rPr>
                <w:rFonts w:hint="default" w:ascii="Times New Roman" w:hAnsi="Times New Roman" w:eastAsia="宋体" w:cs="Times New Roman"/>
              </w:rPr>
              <w:t>4、数量、颜色及质地：沙箱及沙箱架1组，松木实木，沙箱外侧木本色，内侧天蓝色；陈列架2个，质地：松木实木；拆卸方式：可自拆式；</w:t>
            </w:r>
          </w:p>
          <w:p>
            <w:pPr>
              <w:rPr>
                <w:rFonts w:hint="default" w:ascii="Times New Roman" w:hAnsi="Times New Roman" w:eastAsia="宋体" w:cs="Times New Roman"/>
              </w:rPr>
            </w:pPr>
            <w:r>
              <w:rPr>
                <w:rFonts w:hint="default" w:ascii="Times New Roman" w:hAnsi="Times New Roman" w:eastAsia="宋体" w:cs="Times New Roman"/>
              </w:rPr>
              <w:t>5、天然海沙或优质白沙10KG，颗粒大小均匀，高温消毒，清洁干净、手感舒适；</w:t>
            </w:r>
          </w:p>
          <w:p>
            <w:pPr>
              <w:rPr>
                <w:rFonts w:hint="default" w:ascii="Times New Roman" w:hAnsi="Times New Roman" w:eastAsia="宋体" w:cs="Times New Roman"/>
              </w:rPr>
            </w:pPr>
            <w:r>
              <w:rPr>
                <w:rFonts w:hint="default" w:ascii="Times New Roman" w:hAnsi="Times New Roman" w:eastAsia="宋体" w:cs="Times New Roman"/>
              </w:rPr>
              <w:t>7、塑筐1个（规格：30㎝×20㎝×10㎝）；沙耙1个,刷子1个；</w:t>
            </w:r>
          </w:p>
          <w:p>
            <w:pPr>
              <w:rPr>
                <w:rFonts w:hint="default" w:ascii="Times New Roman" w:hAnsi="Times New Roman" w:eastAsia="宋体" w:cs="Times New Roman"/>
              </w:rPr>
            </w:pPr>
            <w:r>
              <w:rPr>
                <w:rFonts w:hint="default" w:ascii="Times New Roman" w:hAnsi="Times New Roman" w:eastAsia="宋体" w:cs="Times New Roman"/>
              </w:rPr>
              <w:t>8、沙盘手册一本，帮助提升沙盘操作技能；</w:t>
            </w:r>
          </w:p>
          <w:p>
            <w:pPr>
              <w:rPr>
                <w:rFonts w:hint="default" w:ascii="Times New Roman" w:hAnsi="Times New Roman" w:eastAsia="宋体" w:cs="Times New Roman"/>
              </w:rPr>
            </w:pPr>
            <w:r>
              <w:rPr>
                <w:rFonts w:hint="default" w:ascii="Times New Roman" w:hAnsi="Times New Roman" w:eastAsia="宋体" w:cs="Times New Roman"/>
              </w:rPr>
              <w:t>9、沙盘专项技能培训一人次。（省内外著名专家，课时不少于21课时，培训地点：合肥）</w:t>
            </w:r>
          </w:p>
          <w:p>
            <w:pPr>
              <w:rPr>
                <w:rFonts w:hint="default" w:ascii="Times New Roman" w:hAnsi="Times New Roman" w:eastAsia="宋体" w:cs="Times New Roman"/>
              </w:rPr>
            </w:pPr>
            <w:r>
              <w:rPr>
                <w:rFonts w:hint="default" w:ascii="Times New Roman" w:hAnsi="Times New Roman" w:eastAsia="宋体" w:cs="Times New Roman"/>
              </w:rPr>
              <w:t>相关要求：</w:t>
            </w:r>
          </w:p>
          <w:p>
            <w:pPr>
              <w:rPr>
                <w:rFonts w:hint="default" w:ascii="Times New Roman" w:hAnsi="Times New Roman" w:eastAsia="宋体" w:cs="Times New Roman"/>
              </w:rPr>
            </w:pPr>
            <w:r>
              <w:rPr>
                <w:rFonts w:hint="default" w:ascii="Times New Roman" w:hAnsi="Times New Roman" w:eastAsia="宋体" w:cs="Times New Roman"/>
              </w:rPr>
              <w:t>提供省级或以上产品质量监督检验机构颁发的心理沙盘板（松木）、心理沙盘板陈列架板（杉木）甲醛检验报告扫描件（要求符合GB18584-2001标准）。</w:t>
            </w:r>
          </w:p>
          <w:p>
            <w:pPr>
              <w:rPr>
                <w:rFonts w:hint="default" w:ascii="Times New Roman" w:hAnsi="Times New Roman" w:eastAsia="宋体" w:cs="Times New Roman"/>
              </w:rPr>
            </w:pPr>
            <w:r>
              <w:rPr>
                <w:rFonts w:hint="default" w:ascii="Times New Roman" w:hAnsi="Times New Roman" w:eastAsia="宋体" w:cs="Times New Roman"/>
              </w:rPr>
              <w:t>提供心理沙具产品展示架外观专利证书及心理沙盘用沙具陈列架实用专利证书。</w:t>
            </w:r>
          </w:p>
          <w:p>
            <w:pPr>
              <w:rPr>
                <w:rFonts w:hint="default" w:ascii="Times New Roman" w:hAnsi="Times New Roman" w:eastAsia="宋体" w:cs="Times New Roman"/>
              </w:rPr>
            </w:pPr>
            <w:r>
              <w:rPr>
                <w:rFonts w:hint="eastAsia" w:ascii="Times New Roman" w:hAnsi="Times New Roman" w:eastAsia="宋体" w:cs="Times New Roman"/>
                <w:lang w:val="en-US" w:eastAsia="zh-CN"/>
              </w:rPr>
              <w:t>报价</w:t>
            </w:r>
            <w:r>
              <w:rPr>
                <w:rFonts w:hint="default" w:ascii="Times New Roman" w:hAnsi="Times New Roman" w:eastAsia="宋体" w:cs="Times New Roman"/>
              </w:rPr>
              <w:t>文件中提供由第三方有权检测机构出具的针对所投沙盘设备中沙具产品的检测报告扫描件（至少包含南瓜、茄子、红烧肉，龙虾，吊桥，陶瓷亭、珊瑚、施工员、直升机，小汽车、花，草等不低于24种沙具，且报告具有CMA、CNAS标识）。</w:t>
            </w:r>
          </w:p>
          <w:p>
            <w:pPr>
              <w:keepNext w:val="0"/>
              <w:keepLines w:val="0"/>
              <w:widowControl/>
              <w:suppressLineNumbers w:val="0"/>
              <w:spacing w:before="0" w:beforeAutospacing="0" w:after="0" w:afterAutospacing="0" w:line="360" w:lineRule="auto"/>
              <w:ind w:left="0" w:right="0"/>
              <w:jc w:val="left"/>
              <w:rPr>
                <w:rFonts w:hint="default" w:ascii="宋体" w:hAnsi="宋体" w:cs="宋体"/>
                <w:sz w:val="24"/>
                <w:lang w:bidi="ar"/>
              </w:rPr>
            </w:pPr>
            <w:r>
              <w:rPr>
                <w:rFonts w:hint="eastAsia" w:ascii="Times New Roman" w:hAnsi="Times New Roman" w:eastAsia="宋体" w:cs="Times New Roman"/>
                <w:lang w:val="en-US" w:eastAsia="zh-CN"/>
              </w:rPr>
              <w:t>报价</w:t>
            </w:r>
            <w:r>
              <w:rPr>
                <w:rFonts w:hint="default" w:ascii="Times New Roman" w:hAnsi="Times New Roman" w:eastAsia="宋体" w:cs="Times New Roman"/>
              </w:rPr>
              <w:t>文件中提供由第三方有权检测机构出具的沙盘（箱庭）设备的甲醛检测报告（包含沙具架、沙具架用板、沙盘、沙盘架，要求符合GB/T 17657-2013标准）扫描件。</w:t>
            </w:r>
          </w:p>
        </w:tc>
        <w:tc>
          <w:tcPr>
            <w:tcW w:w="497"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line="360" w:lineRule="auto"/>
              <w:ind w:left="0" w:right="0"/>
              <w:jc w:val="left"/>
              <w:rPr>
                <w:rFonts w:hint="default" w:ascii="宋体" w:hAnsi="宋体" w:cs="宋体"/>
                <w:sz w:val="24"/>
                <w:lang w:bidi="ar"/>
              </w:rPr>
            </w:pPr>
          </w:p>
        </w:tc>
      </w:tr>
    </w:tbl>
    <w:p/>
    <w:p>
      <w:pPr>
        <w:rPr>
          <w:rFonts w:hint="default"/>
          <w:lang w:val="en-US" w:eastAsia="zh-CN"/>
        </w:rPr>
      </w:pPr>
    </w:p>
    <w:p>
      <w:pPr>
        <w:pStyle w:val="7"/>
        <w:rPr>
          <w:rFonts w:hint="default"/>
          <w:lang w:val="en-US" w:eastAsia="zh-CN"/>
        </w:rPr>
      </w:pPr>
    </w:p>
    <w:p>
      <w:pPr>
        <w:pStyle w:val="6"/>
        <w:rPr>
          <w:rFonts w:hint="default"/>
          <w:lang w:val="en-US" w:eastAsia="zh-CN"/>
        </w:rPr>
      </w:pPr>
    </w:p>
    <w:p>
      <w:pPr>
        <w:rPr>
          <w:rFonts w:hint="default"/>
          <w:lang w:val="en-US" w:eastAsia="zh-CN"/>
        </w:rPr>
      </w:pPr>
    </w:p>
    <w:p>
      <w:pPr>
        <w:pStyle w:val="7"/>
        <w:ind w:left="0" w:leftChars="0" w:firstLine="0" w:firstLineChars="0"/>
        <w:rPr>
          <w:rFonts w:hint="eastAsia" w:ascii="宋体" w:hAnsi="宋体" w:eastAsia="宋体" w:cs="宋体"/>
          <w:b/>
          <w:bCs/>
          <w:sz w:val="24"/>
          <w:szCs w:val="16"/>
          <w:lang w:val="en-US" w:eastAsia="zh-CN"/>
        </w:rPr>
      </w:pPr>
      <w:r>
        <w:rPr>
          <w:rFonts w:hint="eastAsia" w:ascii="宋体" w:hAnsi="宋体" w:eastAsia="宋体" w:cs="宋体"/>
          <w:b/>
          <w:bCs/>
          <w:sz w:val="24"/>
          <w:szCs w:val="16"/>
          <w:lang w:val="en-US" w:eastAsia="zh-CN"/>
        </w:rPr>
        <w:t>附件二</w:t>
      </w:r>
    </w:p>
    <w:p>
      <w:pPr>
        <w:spacing w:before="156" w:beforeLines="50" w:after="156" w:afterLines="50" w:line="360" w:lineRule="auto"/>
        <w:jc w:val="center"/>
        <w:rPr>
          <w:rFonts w:hint="eastAsia" w:ascii="黑体" w:hAnsi="黑体" w:eastAsia="黑体" w:cs="仿宋_GB2312"/>
          <w:b/>
          <w:bCs/>
          <w:color w:val="000000"/>
          <w:sz w:val="36"/>
          <w:szCs w:val="36"/>
          <w:lang w:eastAsia="zh-CN"/>
        </w:rPr>
      </w:pPr>
      <w:r>
        <w:rPr>
          <w:rFonts w:hint="eastAsia" w:ascii="黑体" w:hAnsi="黑体" w:eastAsia="黑体" w:cs="仿宋_GB2312"/>
          <w:b/>
          <w:bCs/>
          <w:color w:val="000000"/>
          <w:sz w:val="36"/>
          <w:szCs w:val="36"/>
        </w:rPr>
        <w:t>保证承诺</w:t>
      </w:r>
      <w:r>
        <w:rPr>
          <w:rFonts w:hint="eastAsia" w:ascii="黑体" w:hAnsi="黑体" w:eastAsia="黑体" w:cs="仿宋_GB2312"/>
          <w:b/>
          <w:bCs/>
          <w:color w:val="000000"/>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eastAsia="zh-CN"/>
        </w:rPr>
        <w:t>安徽新华</w:t>
      </w:r>
      <w:r>
        <w:rPr>
          <w:rFonts w:hint="eastAsia" w:ascii="仿宋" w:hAnsi="仿宋" w:eastAsia="仿宋" w:cs="仿宋"/>
          <w:b/>
          <w:bCs/>
          <w:sz w:val="28"/>
          <w:szCs w:val="28"/>
          <w:lang w:val="en-US" w:eastAsia="zh-CN"/>
        </w:rPr>
        <w:t>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公司全面履行其在主合同中的各项责任与义务，保证人自愿为其向安徽新华学院提供不可撤销的连带保证责任担保，并向安徽新华学院郑重承诺：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学院应承担的全部责任、义务、债务等，以及安徽新华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学院是否对被担保债权享有其他担保（包括但不限于保证、抵押、质押等），保证人在本承诺书项下的保证责任均不因此减免。安徽新华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10"/>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firstLine="5600" w:firstLineChars="2000"/>
        <w:textAlignment w:val="auto"/>
        <w:rPr>
          <w:rFonts w:hint="eastAsia" w:ascii="宋体" w:hAnsi="宋体" w:eastAsia="宋体" w:cs="宋体"/>
          <w:b/>
          <w:bCs/>
          <w:color w:val="000000"/>
          <w:sz w:val="28"/>
          <w:szCs w:val="28"/>
        </w:rPr>
      </w:pPr>
      <w:r>
        <w:rPr>
          <w:rFonts w:hint="eastAsia" w:ascii="仿宋_GB2312" w:hAnsi="仿宋" w:eastAsia="仿宋_GB2312" w:cs="仿宋"/>
          <w:sz w:val="28"/>
          <w:szCs w:val="28"/>
        </w:rPr>
        <w:t>日期：</w:t>
      </w:r>
    </w:p>
    <w:p>
      <w:pPr>
        <w:rPr>
          <w:rFonts w:hint="default"/>
          <w:lang w:val="en-US" w:eastAsia="zh-CN"/>
        </w:rPr>
      </w:pPr>
    </w:p>
    <w:p>
      <w:pPr>
        <w:rPr>
          <w:rFonts w:hint="eastAsia"/>
          <w:b/>
          <w:bCs/>
          <w:sz w:val="24"/>
          <w:szCs w:val="32"/>
          <w:lang w:val="en-US" w:eastAsia="zh-CN"/>
        </w:rPr>
      </w:pPr>
      <w:r>
        <w:rPr>
          <w:rFonts w:hint="eastAsia"/>
          <w:b/>
          <w:bCs/>
          <w:sz w:val="24"/>
          <w:szCs w:val="32"/>
          <w:lang w:val="en-US" w:eastAsia="zh-CN"/>
        </w:rPr>
        <w:t>附件三</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val="en-US" w:eastAsia="zh-CN"/>
        </w:rPr>
        <w:t>安徽新华学院</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本承诺书一式四份，甲乙双方各持两份。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pPr>
        <w:pStyle w:val="7"/>
        <w:ind w:left="0" w:leftChars="0" w:firstLine="0" w:firstLineChars="0"/>
        <w:rPr>
          <w:rFonts w:hint="default"/>
          <w:lang w:val="en-US" w:eastAsia="zh-CN"/>
        </w:rPr>
      </w:pPr>
    </w:p>
    <w:p>
      <w:bookmarkStart w:id="0" w:name="_GoBack"/>
      <w:bookmarkEnd w:id="0"/>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FangSong_GB2312">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7F471285"/>
    <w:rsid w:val="7F471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next w:val="4"/>
    <w:qFormat/>
    <w:uiPriority w:val="0"/>
    <w:pPr>
      <w:spacing w:after="120"/>
    </w:pPr>
    <w:rPr>
      <w:szCs w:val="20"/>
    </w:rPr>
  </w:style>
  <w:style w:type="paragraph" w:styleId="4">
    <w:name w:val="Date"/>
    <w:basedOn w:val="1"/>
    <w:next w:val="1"/>
    <w:qFormat/>
    <w:uiPriority w:val="0"/>
    <w:rPr>
      <w:rFonts w:ascii="仿宋_GB2312" w:eastAsia="仿宋_GB2312"/>
      <w:sz w:val="30"/>
      <w:szCs w:val="20"/>
    </w:rPr>
  </w:style>
  <w:style w:type="paragraph" w:styleId="5">
    <w:name w:val="Body Text Indent"/>
    <w:basedOn w:val="1"/>
    <w:next w:val="1"/>
    <w:unhideWhenUsed/>
    <w:qFormat/>
    <w:uiPriority w:val="0"/>
    <w:pPr>
      <w:ind w:firstLine="645"/>
    </w:pPr>
    <w:rPr>
      <w:rFonts w:ascii="@FangSong_GB2312" w:hAnsi="@FangSong_GB2312" w:eastAsia="@FangSong_GB2312"/>
      <w:kern w:val="0"/>
      <w:sz w:val="32"/>
      <w:szCs w:val="20"/>
    </w:rPr>
  </w:style>
  <w:style w:type="paragraph" w:styleId="6">
    <w:name w:val="Body Text First Indent"/>
    <w:basedOn w:val="3"/>
    <w:next w:val="1"/>
    <w:qFormat/>
    <w:uiPriority w:val="0"/>
    <w:pPr>
      <w:adjustRightInd w:val="0"/>
      <w:spacing w:line="360" w:lineRule="auto"/>
      <w:ind w:firstLine="420"/>
      <w:textAlignment w:val="baseline"/>
    </w:pPr>
    <w:rPr>
      <w:rFonts w:ascii="Calibri" w:hAnsi="Calibri" w:eastAsia="楷体_GB2312"/>
      <w:sz w:val="24"/>
    </w:rPr>
  </w:style>
  <w:style w:type="paragraph" w:styleId="7">
    <w:name w:val="Body Text First Indent 2"/>
    <w:basedOn w:val="5"/>
    <w:next w:val="6"/>
    <w:qFormat/>
    <w:uiPriority w:val="0"/>
    <w:pPr>
      <w:spacing w:line="360" w:lineRule="auto"/>
      <w:ind w:firstLine="200" w:firstLineChars="200"/>
    </w:pPr>
    <w:rPr>
      <w:rFonts w:ascii="宋体"/>
      <w:szCs w:val="20"/>
    </w:rPr>
  </w:style>
  <w:style w:type="paragraph" w:styleId="10">
    <w:name w:val="List Paragraph"/>
    <w:basedOn w:val="1"/>
    <w:qFormat/>
    <w:uiPriority w:val="1"/>
    <w:pPr>
      <w:spacing w:before="45"/>
      <w:ind w:left="100" w:firstLine="480"/>
    </w:pPr>
    <w:rPr>
      <w:rFonts w:ascii="宋体" w:hAnsi="宋体" w:eastAsia="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2022-12-01T01:44:00Z</dcterms:created>
  <dc:creator>千里草1403852088</dc:creator>
  <cp:lastModifiedBy>千里草1403852088</cp:lastModifiedBy>
  <dcterms:modified xsi:type="dcterms:W3CDTF">2022-12-01T01:44:56Z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7C18AEB8ADBC405FACB9763D905B3F2A</vt:lpwstr>
  </property>
</Properties>
</file>